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B0" w:rsidRPr="00C651B0" w:rsidRDefault="00C651B0" w:rsidP="00C651B0">
      <w:pPr>
        <w:spacing w:after="0" w:line="240" w:lineRule="atLeast"/>
        <w:jc w:val="center"/>
        <w:rPr>
          <w:rFonts w:eastAsia="Times New Roman" w:cs="Times New Roman"/>
          <w:color w:val="000000"/>
          <w:sz w:val="20"/>
          <w:szCs w:val="20"/>
          <w:lang w:eastAsia="tr-TR"/>
        </w:rPr>
      </w:pPr>
      <w:bookmarkStart w:id="0" w:name="_GoBack"/>
      <w:r w:rsidRPr="00C651B0">
        <w:rPr>
          <w:rFonts w:eastAsia="Times New Roman" w:cs="Times New Roman"/>
          <w:color w:val="000000"/>
          <w:sz w:val="18"/>
          <w:szCs w:val="18"/>
          <w:lang w:eastAsia="tr-TR"/>
        </w:rPr>
        <w:t>GAYRİMENKUL SATILACAKTIR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b/>
          <w:bCs/>
          <w:color w:val="0000CC"/>
          <w:sz w:val="18"/>
          <w:szCs w:val="18"/>
          <w:lang w:eastAsia="tr-TR"/>
        </w:rPr>
        <w:t>İstanbul Defterdarlığı Avrupa Yakası Milli Emlak Dairesi Başkanlığından:</w:t>
      </w:r>
    </w:p>
    <w:p w:rsidR="00C651B0" w:rsidRPr="00C651B0" w:rsidRDefault="00C651B0" w:rsidP="00C651B0">
      <w:pPr>
        <w:spacing w:before="80" w:after="0" w:line="240" w:lineRule="atLeast"/>
        <w:jc w:val="center"/>
        <w:rPr>
          <w:rFonts w:eastAsia="Times New Roman" w:cs="Times New Roman"/>
          <w:color w:val="000000"/>
          <w:sz w:val="20"/>
          <w:szCs w:val="20"/>
          <w:lang w:eastAsia="tr-TR"/>
        </w:rPr>
      </w:pPr>
      <w:r w:rsidRPr="00C651B0">
        <w:rPr>
          <w:rFonts w:eastAsia="Times New Roman" w:cs="Times New Roman"/>
          <w:color w:val="000000"/>
          <w:sz w:val="18"/>
          <w:szCs w:val="18"/>
          <w:lang w:eastAsia="tr-TR"/>
        </w:rPr>
        <w:t>HALİÇ EMLAK MÜDÜRLÜĞÜNDEN SATILIK GAYRİMENKUL</w:t>
      </w:r>
    </w:p>
    <w:p w:rsidR="00C651B0" w:rsidRPr="00C651B0" w:rsidRDefault="00C651B0" w:rsidP="00C651B0">
      <w:pPr>
        <w:spacing w:before="20"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(Bu taşınmazın satış ihalesi </w:t>
      </w:r>
      <w:proofErr w:type="gramStart"/>
      <w:r w:rsidRPr="00C651B0">
        <w:rPr>
          <w:rFonts w:eastAsia="Times New Roman" w:cs="Times New Roman"/>
          <w:color w:val="000000"/>
          <w:sz w:val="18"/>
          <w:szCs w:val="18"/>
          <w:lang w:eastAsia="tr-TR"/>
        </w:rPr>
        <w:t>20/04/2018</w:t>
      </w:r>
      <w:proofErr w:type="gramEnd"/>
      <w:r w:rsidRPr="00C651B0">
        <w:rPr>
          <w:rFonts w:eastAsia="Times New Roman" w:cs="Times New Roman"/>
          <w:color w:val="000000"/>
          <w:sz w:val="18"/>
          <w:szCs w:val="18"/>
          <w:lang w:eastAsia="tr-TR"/>
        </w:rPr>
        <w:t> günü ilanda belirtilen saatte yapılacaktır.)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 </w:t>
      </w:r>
    </w:p>
    <w:tbl>
      <w:tblPr>
        <w:tblW w:w="14745" w:type="dxa"/>
        <w:tblInd w:w="559" w:type="dxa"/>
        <w:tblCellMar>
          <w:left w:w="0" w:type="dxa"/>
          <w:right w:w="0" w:type="dxa"/>
        </w:tblCellMar>
        <w:tblLook w:val="04A0" w:firstRow="1" w:lastRow="0" w:firstColumn="1" w:lastColumn="0" w:noHBand="0" w:noVBand="1"/>
      </w:tblPr>
      <w:tblGrid>
        <w:gridCol w:w="438"/>
        <w:gridCol w:w="1263"/>
        <w:gridCol w:w="851"/>
        <w:gridCol w:w="1408"/>
        <w:gridCol w:w="1285"/>
        <w:gridCol w:w="704"/>
        <w:gridCol w:w="713"/>
        <w:gridCol w:w="758"/>
        <w:gridCol w:w="1009"/>
        <w:gridCol w:w="825"/>
        <w:gridCol w:w="628"/>
        <w:gridCol w:w="1423"/>
        <w:gridCol w:w="1204"/>
        <w:gridCol w:w="1386"/>
        <w:gridCol w:w="850"/>
      </w:tblGrid>
      <w:tr w:rsidR="00C651B0" w:rsidRPr="00C651B0" w:rsidTr="00C651B0">
        <w:trPr>
          <w:trHeight w:val="20"/>
        </w:trPr>
        <w:tc>
          <w:tcPr>
            <w:tcW w:w="43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Sıra</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No</w:t>
            </w:r>
          </w:p>
        </w:tc>
        <w:tc>
          <w:tcPr>
            <w:tcW w:w="12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Dosya No</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İlçesi</w:t>
            </w:r>
          </w:p>
        </w:tc>
        <w:tc>
          <w:tcPr>
            <w:tcW w:w="1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Mahalle/Köy</w:t>
            </w:r>
          </w:p>
        </w:tc>
        <w:tc>
          <w:tcPr>
            <w:tcW w:w="12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Sokak/</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Mevkii</w:t>
            </w:r>
          </w:p>
        </w:tc>
        <w:tc>
          <w:tcPr>
            <w:tcW w:w="7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Pafta</w:t>
            </w:r>
          </w:p>
        </w:tc>
        <w:tc>
          <w:tcPr>
            <w:tcW w:w="7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Ada</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Parsel</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Miktar</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(m</w:t>
            </w:r>
            <w:r w:rsidRPr="00C651B0">
              <w:rPr>
                <w:rFonts w:eastAsia="Times New Roman" w:cs="Times New Roman"/>
                <w:sz w:val="18"/>
                <w:szCs w:val="18"/>
                <w:vertAlign w:val="superscript"/>
                <w:lang w:eastAsia="tr-TR"/>
              </w:rPr>
              <w:t>2</w:t>
            </w:r>
            <w:r w:rsidRPr="00C651B0">
              <w:rPr>
                <w:rFonts w:eastAsia="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Hazine</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Tahmini</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Bedel (TL)</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Geçici Teminat (TL)</w:t>
            </w:r>
          </w:p>
        </w:tc>
        <w:tc>
          <w:tcPr>
            <w:tcW w:w="1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İmar Durumu/</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Niteliği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İhale</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Saati</w:t>
            </w:r>
          </w:p>
        </w:tc>
      </w:tr>
      <w:tr w:rsidR="00C651B0" w:rsidRPr="00C651B0" w:rsidTr="00C651B0">
        <w:trPr>
          <w:trHeight w:val="20"/>
        </w:trPr>
        <w:tc>
          <w:tcPr>
            <w:tcW w:w="4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2</w:t>
            </w:r>
          </w:p>
        </w:tc>
        <w:tc>
          <w:tcPr>
            <w:tcW w:w="1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proofErr w:type="gramStart"/>
            <w:r w:rsidRPr="00C651B0">
              <w:rPr>
                <w:rFonts w:eastAsia="Times New Roman" w:cs="Times New Roman"/>
                <w:sz w:val="18"/>
                <w:szCs w:val="18"/>
                <w:lang w:eastAsia="tr-TR"/>
              </w:rPr>
              <w:t>34030101113</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Bağcılar</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Fevzi Çakmak Mah.</w:t>
            </w:r>
          </w:p>
        </w:tc>
        <w:tc>
          <w:tcPr>
            <w:tcW w:w="12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Namık Kemal Cad.</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1</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3482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1.310,72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7.500.000,00</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1.500.000,00</w:t>
            </w:r>
          </w:p>
        </w:tc>
        <w:tc>
          <w:tcPr>
            <w:tcW w:w="13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1B0" w:rsidRPr="00C651B0" w:rsidRDefault="00C651B0" w:rsidP="00C651B0">
            <w:pPr>
              <w:spacing w:after="0" w:line="240" w:lineRule="atLeast"/>
              <w:jc w:val="center"/>
              <w:rPr>
                <w:rFonts w:eastAsia="Times New Roman" w:cs="Times New Roman"/>
                <w:sz w:val="20"/>
                <w:szCs w:val="20"/>
                <w:lang w:eastAsia="tr-TR"/>
              </w:rPr>
            </w:pPr>
            <w:r w:rsidRPr="00C651B0">
              <w:rPr>
                <w:rFonts w:eastAsia="Times New Roman" w:cs="Times New Roman"/>
                <w:sz w:val="18"/>
                <w:szCs w:val="18"/>
                <w:lang w:eastAsia="tr-TR"/>
              </w:rPr>
              <w:t>Ticaret +</w:t>
            </w:r>
          </w:p>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Konut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51B0" w:rsidRPr="00C651B0" w:rsidRDefault="00C651B0" w:rsidP="00C651B0">
            <w:pPr>
              <w:spacing w:after="0" w:line="20" w:lineRule="atLeast"/>
              <w:jc w:val="center"/>
              <w:rPr>
                <w:rFonts w:eastAsia="Times New Roman" w:cs="Times New Roman"/>
                <w:sz w:val="20"/>
                <w:szCs w:val="20"/>
                <w:lang w:eastAsia="tr-TR"/>
              </w:rPr>
            </w:pPr>
            <w:r w:rsidRPr="00C651B0">
              <w:rPr>
                <w:rFonts w:eastAsia="Times New Roman" w:cs="Times New Roman"/>
                <w:sz w:val="18"/>
                <w:szCs w:val="18"/>
                <w:lang w:eastAsia="tr-TR"/>
              </w:rPr>
              <w:t>10.20</w:t>
            </w:r>
          </w:p>
        </w:tc>
      </w:tr>
    </w:tbl>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 </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1 - Yukarıda nitelikleri belirtilen Hazine adına kayıtlı taşınmaz mallar 2886 sayılı Devlet İhale Kanununun 45. maddesine göre "Açık Teklif Usulü" ile yukarıda gösterilen gün ve saatlerde satışa çıkarılmıştır.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2 - İhaleye iştirak etmek isteyenlerin;</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proofErr w:type="gramStart"/>
      <w:r w:rsidRPr="00C651B0">
        <w:rPr>
          <w:rFonts w:eastAsia="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taşıması gerekmektedir.</w:t>
      </w:r>
      <w:proofErr w:type="gramEnd"/>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C651B0">
        <w:rPr>
          <w:rFonts w:eastAsia="Times New Roman" w:cs="Times New Roman"/>
          <w:color w:val="000000"/>
          <w:sz w:val="18"/>
          <w:szCs w:val="18"/>
          <w:lang w:eastAsia="tr-TR"/>
        </w:rPr>
        <w:t>İkametgah</w:t>
      </w:r>
      <w:proofErr w:type="gramEnd"/>
      <w:r w:rsidRPr="00C651B0">
        <w:rPr>
          <w:rFonts w:eastAsia="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Cağaloğlu-Fatih/İstanbul adresinde toplanacak olan ihale Komisyonu Başkanlığına başvurarak belgelerini teslim etmeleri gerekmektedir.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3 - Satış bedelinin 1/4 ü peşin kalanı en fazla iki yılda, eşit taksitlerle ve üçer aylık dilimler halinde kanunî faizi ile birlikte tahsil edilir.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4 - İhaleye ait şartname internet adresimizde ( www.ist-def.gov.tr) ve müdürlüğümüzde görülebilir.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C651B0">
        <w:rPr>
          <w:rFonts w:eastAsia="Times New Roman" w:cs="Times New Roman"/>
          <w:color w:val="000000"/>
          <w:sz w:val="18"/>
          <w:szCs w:val="18"/>
          <w:lang w:eastAsia="tr-TR"/>
        </w:rPr>
        <w:t>Malmüdürlükleri</w:t>
      </w:r>
      <w:proofErr w:type="spellEnd"/>
      <w:r w:rsidRPr="00C651B0">
        <w:rPr>
          <w:rFonts w:eastAsia="Times New Roman" w:cs="Times New Roman"/>
          <w:color w:val="000000"/>
          <w:sz w:val="18"/>
          <w:szCs w:val="18"/>
          <w:lang w:eastAsia="tr-TR"/>
        </w:rPr>
        <w:t> veznelerine başvurmak suretiyle temin edebilirler.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6 - Satışı yapılan taşınmaz mallar 5 yıl süre ile Emlak Vergisine tabi değildir.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7 - Satışı yapılan taşınmaz mallar KDV den satış ve devir işlemleri sırasında düzenlenen belgeler vergi, resim ve harçtan müstesnadır.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w:t>
      </w:r>
    </w:p>
    <w:p w:rsidR="00C651B0" w:rsidRPr="00C651B0" w:rsidRDefault="00C651B0" w:rsidP="00C651B0">
      <w:pPr>
        <w:spacing w:after="0" w:line="240" w:lineRule="atLeast"/>
        <w:ind w:firstLine="567"/>
        <w:jc w:val="both"/>
        <w:rPr>
          <w:rFonts w:eastAsia="Times New Roman" w:cs="Times New Roman"/>
          <w:color w:val="000000"/>
          <w:sz w:val="20"/>
          <w:szCs w:val="20"/>
          <w:lang w:eastAsia="tr-TR"/>
        </w:rPr>
      </w:pPr>
      <w:r w:rsidRPr="00C651B0">
        <w:rPr>
          <w:rFonts w:eastAsia="Times New Roman" w:cs="Times New Roman"/>
          <w:color w:val="000000"/>
          <w:sz w:val="18"/>
          <w:szCs w:val="18"/>
          <w:lang w:eastAsia="tr-TR"/>
        </w:rPr>
        <w:t>İlan olunur.</w:t>
      </w:r>
    </w:p>
    <w:p w:rsidR="00C651B0" w:rsidRPr="00C651B0" w:rsidRDefault="00C651B0" w:rsidP="00C651B0">
      <w:pPr>
        <w:spacing w:after="0" w:line="240" w:lineRule="atLeast"/>
        <w:ind w:firstLine="567"/>
        <w:jc w:val="right"/>
        <w:rPr>
          <w:rFonts w:eastAsia="Times New Roman" w:cs="Times New Roman"/>
          <w:color w:val="000000"/>
          <w:sz w:val="20"/>
          <w:szCs w:val="20"/>
          <w:lang w:eastAsia="tr-TR"/>
        </w:rPr>
      </w:pPr>
      <w:r w:rsidRPr="00C651B0">
        <w:rPr>
          <w:rFonts w:eastAsia="Times New Roman" w:cs="Times New Roman"/>
          <w:color w:val="000000"/>
          <w:sz w:val="18"/>
          <w:szCs w:val="18"/>
          <w:lang w:eastAsia="tr-TR"/>
        </w:rPr>
        <w:t>2813/1-1</w:t>
      </w:r>
    </w:p>
    <w:p w:rsidR="00C651B0" w:rsidRPr="00C651B0" w:rsidRDefault="00C651B0" w:rsidP="00C651B0">
      <w:pPr>
        <w:spacing w:after="0" w:line="240" w:lineRule="atLeast"/>
        <w:rPr>
          <w:rFonts w:eastAsia="Times New Roman" w:cs="Times New Roman"/>
          <w:color w:val="000000"/>
          <w:sz w:val="27"/>
          <w:szCs w:val="27"/>
          <w:lang w:eastAsia="tr-TR"/>
        </w:rPr>
      </w:pPr>
      <w:hyperlink r:id="rId5" w:anchor="_top" w:history="1">
        <w:r w:rsidRPr="00C651B0">
          <w:rPr>
            <w:rFonts w:ascii="Arial" w:eastAsia="Times New Roman" w:hAnsi="Arial" w:cs="Arial"/>
            <w:color w:val="800080"/>
            <w:sz w:val="28"/>
            <w:szCs w:val="28"/>
            <w:u w:val="single"/>
            <w:lang w:val="en-US" w:eastAsia="tr-TR"/>
          </w:rPr>
          <w:t>▲</w:t>
        </w:r>
      </w:hyperlink>
    </w:p>
    <w:bookmarkEnd w:id="0"/>
    <w:p w:rsidR="00F436C3" w:rsidRPr="00C651B0" w:rsidRDefault="00F436C3"/>
    <w:sectPr w:rsidR="00F436C3" w:rsidRPr="00C651B0" w:rsidSect="00C651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B0"/>
    <w:rsid w:val="001F5166"/>
    <w:rsid w:val="00C651B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651B0"/>
  </w:style>
  <w:style w:type="character" w:customStyle="1" w:styleId="spelle">
    <w:name w:val="spelle"/>
    <w:basedOn w:val="VarsaylanParagrafYazTipi"/>
    <w:rsid w:val="00C651B0"/>
  </w:style>
  <w:style w:type="paragraph" w:styleId="NormalWeb">
    <w:name w:val="Normal (Web)"/>
    <w:basedOn w:val="Normal"/>
    <w:uiPriority w:val="99"/>
    <w:semiHidden/>
    <w:unhideWhenUsed/>
    <w:rsid w:val="00C651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5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651B0"/>
  </w:style>
  <w:style w:type="character" w:customStyle="1" w:styleId="spelle">
    <w:name w:val="spelle"/>
    <w:basedOn w:val="VarsaylanParagrafYazTipi"/>
    <w:rsid w:val="00C651B0"/>
  </w:style>
  <w:style w:type="paragraph" w:styleId="NormalWeb">
    <w:name w:val="Normal (Web)"/>
    <w:basedOn w:val="Normal"/>
    <w:uiPriority w:val="99"/>
    <w:semiHidden/>
    <w:unhideWhenUsed/>
    <w:rsid w:val="00C651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5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2018-04-06T11:24:00Z</dcterms:created>
  <dcterms:modified xsi:type="dcterms:W3CDTF">2018-04-06T11:25:00Z</dcterms:modified>
</cp:coreProperties>
</file>