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A8" w:rsidRDefault="00F068A8" w:rsidP="00F068A8">
      <w:pPr>
        <w:spacing w:line="240" w:lineRule="atLeast"/>
        <w:jc w:val="center"/>
        <w:rPr>
          <w:color w:val="000000"/>
        </w:rPr>
      </w:pPr>
      <w:r>
        <w:rPr>
          <w:color w:val="000000"/>
          <w:sz w:val="18"/>
          <w:szCs w:val="18"/>
        </w:rPr>
        <w:t>ANKARA İLİ, ETİMESGUT İLÇESİ, BAHÇEKAPI MAHALLESİ SINIRLARI İÇERİSİNDE BULUNAN 4 ADET TAŞINMAZ İHALE YÖNTEMİYLE SATILACAKTIR</w:t>
      </w:r>
    </w:p>
    <w:p w:rsidR="00F068A8" w:rsidRDefault="00F068A8" w:rsidP="00F068A8">
      <w:pPr>
        <w:spacing w:line="240" w:lineRule="atLeast"/>
        <w:ind w:firstLine="567"/>
        <w:jc w:val="both"/>
        <w:rPr>
          <w:color w:val="000000"/>
        </w:rPr>
      </w:pPr>
      <w:r>
        <w:rPr>
          <w:b/>
          <w:bCs/>
          <w:color w:val="0000CC"/>
          <w:sz w:val="18"/>
          <w:szCs w:val="18"/>
        </w:rPr>
        <w:t>TCDD Genel Müdürlüğünden:</w:t>
      </w:r>
    </w:p>
    <w:p w:rsidR="00F068A8" w:rsidRDefault="00F068A8" w:rsidP="00F068A8">
      <w:pPr>
        <w:spacing w:line="240" w:lineRule="atLeast"/>
        <w:ind w:firstLine="567"/>
        <w:jc w:val="both"/>
        <w:rPr>
          <w:color w:val="000000"/>
        </w:rPr>
      </w:pPr>
      <w:r>
        <w:rPr>
          <w:color w:val="000000"/>
          <w:sz w:val="18"/>
          <w:szCs w:val="18"/>
        </w:rPr>
        <w:t>Mülkiyeti, TCDD Genel Müdürlüğüne ait Ankara İli, Etimesgut İlçesi, Bahçekapı Mahallesi sınırları içerisinde bulunan ve aşağıda nitelikleri belirtilen 4 adet taşınmaz ihale ile satılacaktır.</w:t>
      </w:r>
    </w:p>
    <w:p w:rsidR="00F068A8" w:rsidRDefault="00F068A8" w:rsidP="00F068A8">
      <w:pPr>
        <w:spacing w:line="240" w:lineRule="atLeast"/>
        <w:ind w:firstLine="567"/>
        <w:jc w:val="both"/>
        <w:rPr>
          <w:color w:val="000000"/>
        </w:rPr>
      </w:pPr>
      <w:r>
        <w:rPr>
          <w:color w:val="000000"/>
          <w:sz w:val="18"/>
          <w:szCs w:val="18"/>
        </w:rPr>
        <w:t>1 - Satış İhalesi, kapalı zarfla teklif almak ve sonrasında görüşmeler yapmak suretiyle aşağıda belirtilen gün ve saatlerde TCDD GENEL MÜDÜRLÜĞÜ Emlak ve İnşaat Dairesi Başkanlığı toplantı salonunda, “Pazarlık Usulü” ile gerçekleştirilecektir. İhale Komisyonu’nca gerek görülmesi halinde, ihale, pazarlık görüşmesine devam edilen teklif sahiplerinin katılımı ile açık artırma suretiyle sonuçlandırılabilecektir.</w:t>
      </w:r>
    </w:p>
    <w:p w:rsidR="00F068A8" w:rsidRDefault="00F068A8" w:rsidP="00F068A8">
      <w:pPr>
        <w:spacing w:line="240" w:lineRule="atLeast"/>
        <w:ind w:firstLine="567"/>
        <w:jc w:val="both"/>
        <w:rPr>
          <w:color w:val="000000"/>
        </w:rPr>
      </w:pPr>
      <w:r>
        <w:rPr>
          <w:color w:val="000000"/>
          <w:sz w:val="18"/>
          <w:szCs w:val="18"/>
        </w:rPr>
        <w:t>2 - Katılımcılar ayrı ayrı olmak koşuluyla, birden fazla ihaleye teklif verebilirler.</w:t>
      </w:r>
    </w:p>
    <w:p w:rsidR="00F068A8" w:rsidRDefault="00F068A8" w:rsidP="00F068A8">
      <w:pPr>
        <w:spacing w:line="240" w:lineRule="atLeast"/>
        <w:ind w:firstLine="567"/>
        <w:jc w:val="both"/>
        <w:rPr>
          <w:color w:val="000000"/>
        </w:rPr>
      </w:pPr>
      <w:r>
        <w:rPr>
          <w:color w:val="000000"/>
          <w:sz w:val="18"/>
          <w:szCs w:val="18"/>
        </w:rPr>
        <w:t>3 - İhaleye katılabilme hususunda taşınmazlar için ayrı ayrı TCDD GENEL MÜDÜRLÜĞÜ Merkez Veznesinden İhale Şartnamesi alınması ve tekliflerin TCDD GENEL MÜDÜRLÜĞÜ Emlak ve İnşaat Dairesi Başkanlığı/ANKARA adresine son teklif verme günü ve saatine kadar elden teslim edilmesi zorunludur. Belirtilen tarih ve saatten sonra verilecek teklifler değerlendirilmeyecektir.</w:t>
      </w:r>
    </w:p>
    <w:p w:rsidR="00F068A8" w:rsidRDefault="00F068A8" w:rsidP="00F068A8">
      <w:pPr>
        <w:spacing w:line="240" w:lineRule="atLeast"/>
        <w:ind w:firstLine="567"/>
        <w:jc w:val="both"/>
        <w:rPr>
          <w:color w:val="000000"/>
        </w:rPr>
      </w:pPr>
      <w:r>
        <w:rPr>
          <w:color w:val="000000"/>
          <w:sz w:val="18"/>
          <w:szCs w:val="18"/>
        </w:rPr>
        <w:t>4 -</w:t>
      </w:r>
      <w:r>
        <w:rPr>
          <w:rStyle w:val="apple-converted-space"/>
          <w:color w:val="000000"/>
          <w:sz w:val="18"/>
          <w:szCs w:val="18"/>
        </w:rPr>
        <w:t> </w:t>
      </w:r>
      <w:r>
        <w:rPr>
          <w:color w:val="000000"/>
          <w:spacing w:val="-2"/>
          <w:sz w:val="18"/>
          <w:szCs w:val="18"/>
        </w:rPr>
        <w:t>Tanıtım Dokümanı ve İhale Şartnamesi bedelleri, TCDD GENEL</w:t>
      </w:r>
      <w:r>
        <w:rPr>
          <w:rStyle w:val="apple-converted-space"/>
          <w:color w:val="000000"/>
          <w:spacing w:val="-2"/>
          <w:sz w:val="18"/>
          <w:szCs w:val="18"/>
        </w:rPr>
        <w:t> </w:t>
      </w:r>
      <w:r>
        <w:rPr>
          <w:rStyle w:val="spelle"/>
          <w:rFonts w:eastAsiaTheme="majorEastAsia"/>
          <w:color w:val="000000"/>
          <w:spacing w:val="-2"/>
          <w:sz w:val="18"/>
          <w:szCs w:val="18"/>
        </w:rPr>
        <w:t>MÜDÜRLÜĞÜ’nün</w:t>
      </w:r>
      <w:r>
        <w:rPr>
          <w:color w:val="000000"/>
          <w:spacing w:val="-2"/>
          <w:sz w:val="18"/>
          <w:szCs w:val="18"/>
        </w:rPr>
        <w:t>;</w:t>
      </w:r>
      <w:r>
        <w:rPr>
          <w:rStyle w:val="apple-converted-space"/>
          <w:color w:val="000000"/>
          <w:sz w:val="18"/>
          <w:szCs w:val="18"/>
        </w:rPr>
        <w:t> </w:t>
      </w:r>
      <w:r>
        <w:rPr>
          <w:color w:val="000000"/>
          <w:sz w:val="18"/>
          <w:szCs w:val="18"/>
        </w:rPr>
        <w:t>Ziraat Bankası Ankara Kamu Kurumsal Şubesi TR67 0001 0017 4507 0385 5751 31 veya Vakıfbank Ankara Kamu Kurumsal Şubesi TR63 0001 5001 5800 7260 5199 09</w:t>
      </w:r>
      <w:r>
        <w:rPr>
          <w:rStyle w:val="apple-converted-space"/>
          <w:color w:val="000000"/>
          <w:sz w:val="18"/>
          <w:szCs w:val="18"/>
        </w:rPr>
        <w:t> </w:t>
      </w:r>
      <w:r>
        <w:rPr>
          <w:rStyle w:val="spelle"/>
          <w:rFonts w:eastAsiaTheme="majorEastAsia"/>
          <w:color w:val="000000"/>
          <w:sz w:val="18"/>
          <w:szCs w:val="18"/>
        </w:rPr>
        <w:t>nolu</w:t>
      </w:r>
      <w:r>
        <w:rPr>
          <w:rStyle w:val="apple-converted-space"/>
          <w:color w:val="000000"/>
          <w:sz w:val="18"/>
          <w:szCs w:val="18"/>
        </w:rPr>
        <w:t> </w:t>
      </w:r>
      <w:r>
        <w:rPr>
          <w:color w:val="000000"/>
          <w:sz w:val="18"/>
          <w:szCs w:val="18"/>
        </w:rPr>
        <w:t>hesabına veya TCDD GENEL MÜDÜRLÜĞÜ Merkez Veznesine yatırılacaktır.</w:t>
      </w:r>
    </w:p>
    <w:p w:rsidR="00F068A8" w:rsidRDefault="00F068A8" w:rsidP="00F068A8">
      <w:pPr>
        <w:spacing w:line="240" w:lineRule="atLeast"/>
        <w:ind w:firstLine="567"/>
        <w:jc w:val="both"/>
        <w:rPr>
          <w:color w:val="000000"/>
        </w:rPr>
      </w:pPr>
      <w:r>
        <w:rPr>
          <w:color w:val="000000"/>
          <w:sz w:val="18"/>
          <w:szCs w:val="18"/>
        </w:rPr>
        <w:t>Dekontta; katılımcıların (Ortak Girişim Grubu olması halinde Ortak Girişim Grubunun adına veya üyelerinden birinin adına olması gerekir) ismi ile hangi ihaleye ilişkin doküman alınacağı belirtilecektir.</w:t>
      </w:r>
    </w:p>
    <w:p w:rsidR="00F068A8" w:rsidRDefault="00F068A8" w:rsidP="00F068A8">
      <w:pPr>
        <w:spacing w:line="240" w:lineRule="atLeast"/>
        <w:ind w:firstLine="567"/>
        <w:jc w:val="both"/>
        <w:rPr>
          <w:color w:val="000000"/>
        </w:rPr>
      </w:pPr>
      <w:r>
        <w:rPr>
          <w:color w:val="000000"/>
          <w:sz w:val="18"/>
          <w:szCs w:val="18"/>
        </w:rPr>
        <w:t>Tanıtım dokümanı ve İhale Şartnamesi karşılığı olarak alınan bedel her ne surette olursa olsun iade edilmez.</w:t>
      </w:r>
    </w:p>
    <w:p w:rsidR="00F068A8" w:rsidRDefault="00F068A8" w:rsidP="00F068A8">
      <w:pPr>
        <w:spacing w:line="240" w:lineRule="atLeast"/>
        <w:ind w:firstLine="567"/>
        <w:jc w:val="both"/>
        <w:rPr>
          <w:color w:val="000000"/>
        </w:rPr>
      </w:pPr>
      <w:r>
        <w:rPr>
          <w:color w:val="000000"/>
          <w:sz w:val="18"/>
          <w:szCs w:val="18"/>
        </w:rPr>
        <w:t>5 - İhale konusu taşınmazların geçici teminat miktarları ve ihale şartnamesi bedelleri aşağıdaki listede belirlenmiştir.</w:t>
      </w:r>
    </w:p>
    <w:p w:rsidR="00F068A8" w:rsidRDefault="00F068A8" w:rsidP="00F068A8">
      <w:pPr>
        <w:spacing w:line="240" w:lineRule="atLeast"/>
        <w:ind w:firstLine="567"/>
        <w:jc w:val="both"/>
        <w:rPr>
          <w:color w:val="000000"/>
        </w:rPr>
      </w:pPr>
      <w:r>
        <w:rPr>
          <w:color w:val="000000"/>
          <w:sz w:val="18"/>
          <w:szCs w:val="18"/>
        </w:rPr>
        <w:t> </w:t>
      </w:r>
    </w:p>
    <w:tbl>
      <w:tblPr>
        <w:tblW w:w="0" w:type="auto"/>
        <w:tblInd w:w="-10" w:type="dxa"/>
        <w:tblCellMar>
          <w:left w:w="0" w:type="dxa"/>
          <w:right w:w="0" w:type="dxa"/>
        </w:tblCellMar>
        <w:tblLook w:val="04A0" w:firstRow="1" w:lastRow="0" w:firstColumn="1" w:lastColumn="0" w:noHBand="0" w:noVBand="1"/>
      </w:tblPr>
      <w:tblGrid>
        <w:gridCol w:w="563"/>
        <w:gridCol w:w="641"/>
        <w:gridCol w:w="731"/>
        <w:gridCol w:w="1142"/>
        <w:gridCol w:w="1677"/>
        <w:gridCol w:w="686"/>
        <w:gridCol w:w="1293"/>
        <w:gridCol w:w="1174"/>
        <w:gridCol w:w="1155"/>
      </w:tblGrid>
      <w:tr w:rsidR="00F068A8" w:rsidTr="00CC27AC">
        <w:tc>
          <w:tcPr>
            <w:tcW w:w="0" w:type="auto"/>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pacing w:val="-2"/>
                <w:sz w:val="18"/>
                <w:szCs w:val="18"/>
              </w:rPr>
              <w:t>ANKARA İLİ, ETİMESGUT İLÇESİ, BAHÇEKAPI MAHALLESİNDE KÂİN SATIŞ İHALESİ YAPILACAK TAŞINMAZLAR</w:t>
            </w:r>
          </w:p>
        </w:tc>
      </w:tr>
      <w:tr w:rsidR="00F068A8" w:rsidTr="00CC27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Sıra</w:t>
            </w:r>
          </w:p>
          <w:p w:rsidR="00F068A8" w:rsidRDefault="00F068A8">
            <w:pPr>
              <w:spacing w:line="240" w:lineRule="atLeast"/>
              <w:jc w:val="center"/>
            </w:pPr>
            <w:r>
              <w:rPr>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Ada</w:t>
            </w:r>
          </w:p>
          <w:p w:rsidR="00F068A8" w:rsidRDefault="00F068A8">
            <w:pPr>
              <w:spacing w:line="240" w:lineRule="atLeast"/>
              <w:jc w:val="center"/>
            </w:pPr>
            <w:r>
              <w:rPr>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Parsel</w:t>
            </w:r>
          </w:p>
          <w:p w:rsidR="00F068A8" w:rsidRDefault="00F068A8">
            <w:pPr>
              <w:spacing w:line="240" w:lineRule="atLeast"/>
              <w:jc w:val="center"/>
            </w:pPr>
            <w:r>
              <w:rPr>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Tapu</w:t>
            </w:r>
          </w:p>
          <w:p w:rsidR="00F068A8" w:rsidRDefault="00F068A8">
            <w:pPr>
              <w:spacing w:line="240" w:lineRule="atLeast"/>
              <w:jc w:val="center"/>
            </w:pPr>
            <w:r>
              <w:rPr>
                <w:sz w:val="18"/>
                <w:szCs w:val="18"/>
              </w:rPr>
              <w:t>Alanı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Değerlendirilecek</w:t>
            </w:r>
          </w:p>
          <w:p w:rsidR="00F068A8" w:rsidRDefault="00F068A8">
            <w:pPr>
              <w:spacing w:line="240" w:lineRule="atLeast"/>
              <w:jc w:val="center"/>
            </w:pPr>
            <w:r>
              <w:rPr>
                <w:sz w:val="18"/>
                <w:szCs w:val="18"/>
              </w:rPr>
              <w:t>Alan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Hisse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Geçici</w:t>
            </w:r>
          </w:p>
          <w:p w:rsidR="00F068A8" w:rsidRDefault="00F068A8">
            <w:pPr>
              <w:spacing w:line="240" w:lineRule="atLeast"/>
              <w:jc w:val="center"/>
            </w:pPr>
            <w:r>
              <w:rPr>
                <w:sz w:val="18"/>
                <w:szCs w:val="18"/>
              </w:rPr>
              <w:t>Teminat</w:t>
            </w:r>
          </w:p>
          <w:p w:rsidR="00F068A8" w:rsidRDefault="00F068A8">
            <w:pPr>
              <w:spacing w:line="240" w:lineRule="atLeast"/>
              <w:jc w:val="center"/>
            </w:pPr>
            <w:r>
              <w:rPr>
                <w:sz w:val="18"/>
                <w:szCs w:val="18"/>
              </w:rPr>
              <w:t>Tutarı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İhale</w:t>
            </w:r>
          </w:p>
          <w:p w:rsidR="00F068A8" w:rsidRDefault="00F068A8">
            <w:pPr>
              <w:spacing w:line="240" w:lineRule="atLeast"/>
              <w:jc w:val="center"/>
            </w:pPr>
            <w:r>
              <w:rPr>
                <w:sz w:val="18"/>
                <w:szCs w:val="18"/>
              </w:rPr>
              <w:t>Şartnamesi</w:t>
            </w:r>
          </w:p>
          <w:p w:rsidR="00F068A8" w:rsidRDefault="00F068A8">
            <w:pPr>
              <w:spacing w:line="240" w:lineRule="atLeast"/>
              <w:jc w:val="center"/>
            </w:pPr>
            <w:r>
              <w:rPr>
                <w:sz w:val="18"/>
                <w:szCs w:val="18"/>
              </w:rPr>
              <w:t>Bedeli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F068A8" w:rsidRDefault="00F068A8">
            <w:pPr>
              <w:spacing w:line="240" w:lineRule="atLeast"/>
              <w:jc w:val="center"/>
            </w:pPr>
            <w:r>
              <w:rPr>
                <w:sz w:val="18"/>
                <w:szCs w:val="18"/>
              </w:rPr>
              <w:t>İhale Tarih</w:t>
            </w:r>
          </w:p>
          <w:p w:rsidR="00F068A8" w:rsidRDefault="00F068A8">
            <w:pPr>
              <w:spacing w:line="240" w:lineRule="atLeast"/>
              <w:jc w:val="center"/>
            </w:pPr>
            <w:r>
              <w:rPr>
                <w:rStyle w:val="grame"/>
                <w:rFonts w:eastAsiaTheme="majorEastAsia"/>
                <w:sz w:val="18"/>
                <w:szCs w:val="18"/>
              </w:rPr>
              <w:t>ve</w:t>
            </w:r>
            <w:r>
              <w:rPr>
                <w:rStyle w:val="apple-converted-space"/>
                <w:sz w:val="18"/>
                <w:szCs w:val="18"/>
              </w:rPr>
              <w:t> </w:t>
            </w:r>
            <w:r>
              <w:rPr>
                <w:sz w:val="18"/>
                <w:szCs w:val="18"/>
              </w:rPr>
              <w:t>Saati</w:t>
            </w:r>
          </w:p>
        </w:tc>
      </w:tr>
      <w:tr w:rsidR="00F068A8" w:rsidTr="00CC27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   </w:t>
            </w:r>
            <w:r>
              <w:rPr>
                <w:rStyle w:val="apple-converted-space"/>
                <w:sz w:val="18"/>
                <w:szCs w:val="18"/>
              </w:rPr>
              <w:t> </w:t>
            </w:r>
            <w:r>
              <w:rPr>
                <w:sz w:val="18"/>
                <w:szCs w:val="18"/>
              </w:rPr>
              <w:t>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 </w:t>
            </w:r>
            <w:r>
              <w:rPr>
                <w:rStyle w:val="apple-converted-space"/>
                <w:sz w:val="18"/>
                <w:szCs w:val="18"/>
              </w:rPr>
              <w:t> </w:t>
            </w:r>
            <w:r>
              <w:rPr>
                <w:sz w:val="18"/>
                <w:szCs w:val="18"/>
              </w:rPr>
              <w:t>95,250.00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 </w:t>
            </w:r>
            <w:r>
              <w:rPr>
                <w:rStyle w:val="apple-converted-space"/>
                <w:sz w:val="18"/>
                <w:szCs w:val="18"/>
              </w:rPr>
              <w:t> </w:t>
            </w:r>
            <w:r>
              <w:rPr>
                <w:sz w:val="18"/>
                <w:szCs w:val="18"/>
              </w:rPr>
              <w:t>95,250.00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rStyle w:val="grame"/>
                <w:rFonts w:eastAsiaTheme="majorEastAsia"/>
                <w:sz w:val="18"/>
                <w:szCs w:val="18"/>
              </w:rPr>
              <w:t>18/02/2015</w:t>
            </w:r>
          </w:p>
          <w:p w:rsidR="00F068A8" w:rsidRDefault="00F068A8">
            <w:pPr>
              <w:spacing w:line="240" w:lineRule="atLeast"/>
              <w:jc w:val="center"/>
            </w:pPr>
            <w:r>
              <w:rPr>
                <w:sz w:val="18"/>
                <w:szCs w:val="18"/>
              </w:rPr>
              <w:t>Çarşamba</w:t>
            </w:r>
          </w:p>
          <w:p w:rsidR="00F068A8" w:rsidRDefault="00F068A8">
            <w:pPr>
              <w:spacing w:line="240" w:lineRule="atLeast"/>
              <w:jc w:val="center"/>
            </w:pPr>
            <w:r>
              <w:rPr>
                <w:rStyle w:val="grame"/>
                <w:rFonts w:eastAsiaTheme="majorEastAsia"/>
                <w:sz w:val="18"/>
                <w:szCs w:val="18"/>
              </w:rPr>
              <w:t>14:30</w:t>
            </w:r>
          </w:p>
        </w:tc>
      </w:tr>
      <w:tr w:rsidR="00F068A8" w:rsidTr="00CC27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4781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174,158.00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174,158.00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rStyle w:val="grame"/>
                <w:rFonts w:eastAsiaTheme="majorEastAsia"/>
                <w:sz w:val="18"/>
                <w:szCs w:val="18"/>
              </w:rPr>
              <w:t>18/02/2015</w:t>
            </w:r>
          </w:p>
          <w:p w:rsidR="00F068A8" w:rsidRDefault="00F068A8">
            <w:pPr>
              <w:spacing w:line="240" w:lineRule="atLeast"/>
              <w:jc w:val="center"/>
            </w:pPr>
            <w:r>
              <w:rPr>
                <w:sz w:val="18"/>
                <w:szCs w:val="18"/>
              </w:rPr>
              <w:t>Çarşamba</w:t>
            </w:r>
          </w:p>
          <w:p w:rsidR="00F068A8" w:rsidRDefault="00F068A8">
            <w:pPr>
              <w:spacing w:line="240" w:lineRule="atLeast"/>
              <w:jc w:val="center"/>
            </w:pPr>
            <w:r>
              <w:rPr>
                <w:rStyle w:val="grame"/>
                <w:rFonts w:eastAsiaTheme="majorEastAsia"/>
                <w:sz w:val="18"/>
                <w:szCs w:val="18"/>
              </w:rPr>
              <w:t>15:00</w:t>
            </w:r>
          </w:p>
        </w:tc>
      </w:tr>
      <w:tr w:rsidR="00F068A8" w:rsidTr="00CC27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4782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118,250.00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118,250.00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rStyle w:val="grame"/>
                <w:rFonts w:eastAsiaTheme="majorEastAsia"/>
                <w:sz w:val="18"/>
                <w:szCs w:val="18"/>
              </w:rPr>
              <w:t>18/02/2015</w:t>
            </w:r>
          </w:p>
          <w:p w:rsidR="00F068A8" w:rsidRDefault="00F068A8">
            <w:pPr>
              <w:spacing w:line="240" w:lineRule="atLeast"/>
              <w:jc w:val="center"/>
            </w:pPr>
            <w:r>
              <w:rPr>
                <w:sz w:val="18"/>
                <w:szCs w:val="18"/>
              </w:rPr>
              <w:t>Çarşamba</w:t>
            </w:r>
          </w:p>
          <w:p w:rsidR="00F068A8" w:rsidRDefault="00F068A8">
            <w:pPr>
              <w:spacing w:line="240" w:lineRule="atLeast"/>
              <w:jc w:val="center"/>
            </w:pPr>
            <w:r>
              <w:rPr>
                <w:rStyle w:val="grame"/>
                <w:rFonts w:eastAsiaTheme="majorEastAsia"/>
                <w:sz w:val="18"/>
                <w:szCs w:val="18"/>
              </w:rPr>
              <w:t>15:30</w:t>
            </w:r>
          </w:p>
        </w:tc>
      </w:tr>
      <w:tr w:rsidR="00F068A8" w:rsidTr="00CC27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2115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   </w:t>
            </w:r>
            <w:r>
              <w:rPr>
                <w:rStyle w:val="apple-converted-space"/>
                <w:sz w:val="18"/>
                <w:szCs w:val="18"/>
              </w:rPr>
              <w:t> </w:t>
            </w:r>
            <w:r>
              <w:rPr>
                <w:sz w:val="18"/>
                <w:szCs w:val="18"/>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108.959.00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108,959.00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1,000,000.00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sz w:val="18"/>
                <w:szCs w:val="18"/>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68A8" w:rsidRDefault="00F068A8">
            <w:pPr>
              <w:spacing w:line="240" w:lineRule="atLeast"/>
              <w:jc w:val="center"/>
            </w:pPr>
            <w:r>
              <w:rPr>
                <w:rStyle w:val="grame"/>
                <w:rFonts w:eastAsiaTheme="majorEastAsia"/>
                <w:sz w:val="18"/>
                <w:szCs w:val="18"/>
              </w:rPr>
              <w:t>18/02/2015</w:t>
            </w:r>
          </w:p>
          <w:p w:rsidR="00F068A8" w:rsidRDefault="00F068A8">
            <w:pPr>
              <w:spacing w:line="240" w:lineRule="atLeast"/>
              <w:jc w:val="center"/>
            </w:pPr>
            <w:r>
              <w:rPr>
                <w:sz w:val="18"/>
                <w:szCs w:val="18"/>
              </w:rPr>
              <w:t>Çarşamba</w:t>
            </w:r>
          </w:p>
          <w:p w:rsidR="00F068A8" w:rsidRDefault="00F068A8">
            <w:pPr>
              <w:spacing w:line="240" w:lineRule="atLeast"/>
              <w:jc w:val="center"/>
            </w:pPr>
            <w:r>
              <w:rPr>
                <w:rStyle w:val="grame"/>
                <w:rFonts w:eastAsiaTheme="majorEastAsia"/>
                <w:sz w:val="18"/>
                <w:szCs w:val="18"/>
              </w:rPr>
              <w:t>16:00</w:t>
            </w:r>
          </w:p>
        </w:tc>
      </w:tr>
    </w:tbl>
    <w:p w:rsidR="00F068A8" w:rsidRDefault="00F068A8" w:rsidP="00F068A8">
      <w:pPr>
        <w:spacing w:line="240" w:lineRule="atLeast"/>
        <w:ind w:firstLine="567"/>
        <w:jc w:val="both"/>
        <w:rPr>
          <w:color w:val="000000"/>
        </w:rPr>
      </w:pPr>
      <w:r>
        <w:rPr>
          <w:color w:val="000000"/>
          <w:sz w:val="18"/>
          <w:szCs w:val="18"/>
        </w:rPr>
        <w:t> </w:t>
      </w:r>
    </w:p>
    <w:p w:rsidR="00F068A8" w:rsidRDefault="00F068A8" w:rsidP="00F068A8">
      <w:pPr>
        <w:spacing w:line="240" w:lineRule="atLeast"/>
        <w:ind w:firstLine="567"/>
        <w:jc w:val="both"/>
        <w:rPr>
          <w:color w:val="000000"/>
        </w:rPr>
      </w:pPr>
      <w:r>
        <w:rPr>
          <w:color w:val="000000"/>
          <w:sz w:val="18"/>
          <w:szCs w:val="18"/>
        </w:rPr>
        <w:t>6 - TCDD Genel Müdürlüğü ihale işlemlerini 5335 Sayılı Kanun Madde 32- (Değişik:</w:t>
      </w:r>
      <w:r>
        <w:rPr>
          <w:rStyle w:val="apple-converted-space"/>
          <w:color w:val="000000"/>
          <w:sz w:val="18"/>
          <w:szCs w:val="18"/>
        </w:rPr>
        <w:t> </w:t>
      </w:r>
      <w:r>
        <w:rPr>
          <w:rStyle w:val="grame"/>
          <w:rFonts w:eastAsiaTheme="majorEastAsia"/>
          <w:color w:val="000000"/>
          <w:sz w:val="18"/>
          <w:szCs w:val="18"/>
        </w:rPr>
        <w:t>24/7/2008</w:t>
      </w:r>
      <w:r>
        <w:rPr>
          <w:color w:val="000000"/>
          <w:sz w:val="18"/>
          <w:szCs w:val="18"/>
        </w:rPr>
        <w:t>-5793/43 Md.) kapsamında 4046 sayılı Kanun çerçevesinde yürütmektedir. Özelleştirme işlemleri 2886 sayılı İhale Kanunu ile 4734 sayılı Kamu İhale Kanunu’na tabi olmayıp, TCDD ihaleyi yapıp yapmamakta, teklif verme süresini belirli bir tarihe kadar veya bilahare belirlenecek bir tarihe kadar uzatmakta serbesttir.</w:t>
      </w:r>
    </w:p>
    <w:p w:rsidR="00F068A8" w:rsidRDefault="00F068A8" w:rsidP="00F068A8">
      <w:pPr>
        <w:spacing w:line="240" w:lineRule="atLeast"/>
        <w:ind w:firstLine="567"/>
        <w:jc w:val="both"/>
        <w:rPr>
          <w:color w:val="000000"/>
        </w:rPr>
      </w:pPr>
      <w:r>
        <w:rPr>
          <w:color w:val="000000"/>
          <w:sz w:val="18"/>
          <w:szCs w:val="18"/>
        </w:rPr>
        <w:t>7 - Ayrıca 0 312 309 05 15/4588 numaralı telefonundan ve www.tcdd.gov.tr adresinden ihaleye ilişkin bilgi alınabilir.</w:t>
      </w:r>
    </w:p>
    <w:p w:rsidR="00F068A8" w:rsidRDefault="00F068A8" w:rsidP="00F068A8">
      <w:pPr>
        <w:spacing w:line="240" w:lineRule="atLeast"/>
        <w:ind w:firstLine="567"/>
        <w:jc w:val="right"/>
        <w:rPr>
          <w:color w:val="000000"/>
        </w:rPr>
      </w:pPr>
      <w:r>
        <w:rPr>
          <w:color w:val="000000"/>
          <w:sz w:val="18"/>
          <w:szCs w:val="18"/>
        </w:rPr>
        <w:t>455/1-1</w:t>
      </w:r>
    </w:p>
    <w:p w:rsidR="00F068A8" w:rsidRDefault="00F068A8" w:rsidP="00F068A8">
      <w:pPr>
        <w:pStyle w:val="NormalWeb"/>
        <w:spacing w:before="0" w:beforeAutospacing="0" w:after="0" w:afterAutospacing="0"/>
        <w:rPr>
          <w:color w:val="000000"/>
          <w:sz w:val="27"/>
          <w:szCs w:val="27"/>
        </w:rPr>
      </w:pPr>
      <w:hyperlink r:id="rId8" w:anchor="_top" w:history="1">
        <w:r>
          <w:rPr>
            <w:rStyle w:val="Kpr"/>
            <w:rFonts w:ascii="Arial" w:hAnsi="Arial" w:cs="Arial"/>
            <w:color w:val="800080"/>
            <w:sz w:val="28"/>
            <w:szCs w:val="28"/>
            <w:lang w:val="en-US"/>
          </w:rPr>
          <w:t>▲</w:t>
        </w:r>
      </w:hyperlink>
    </w:p>
    <w:p w:rsidR="00195AFE" w:rsidRDefault="00195AFE" w:rsidP="00F068A8"/>
    <w:p w:rsidR="00CC27AC" w:rsidRPr="00F068A8" w:rsidRDefault="00CC27AC" w:rsidP="00F068A8">
      <w:bookmarkStart w:id="0" w:name="_GoBack"/>
      <w:bookmarkEnd w:id="0"/>
    </w:p>
    <w:sectPr w:rsidR="00CC27AC" w:rsidRPr="00F068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47" w:rsidRDefault="00E70547" w:rsidP="00B06E28">
      <w:r>
        <w:separator/>
      </w:r>
    </w:p>
  </w:endnote>
  <w:endnote w:type="continuationSeparator" w:id="0">
    <w:p w:rsidR="00E70547" w:rsidRDefault="00E70547"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47" w:rsidRDefault="00E70547" w:rsidP="00B06E28">
      <w:r>
        <w:separator/>
      </w:r>
    </w:p>
  </w:footnote>
  <w:footnote w:type="continuationSeparator" w:id="0">
    <w:p w:rsidR="00E70547" w:rsidRDefault="00E70547"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1972"/>
    <w:rsid w:val="00B46896"/>
    <w:rsid w:val="00B7261E"/>
    <w:rsid w:val="00B80751"/>
    <w:rsid w:val="00B875C1"/>
    <w:rsid w:val="00B948F1"/>
    <w:rsid w:val="00B97038"/>
    <w:rsid w:val="00BA057A"/>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31EB2"/>
    <w:rsid w:val="00D32EF0"/>
    <w:rsid w:val="00D51B56"/>
    <w:rsid w:val="00D65E92"/>
    <w:rsid w:val="00D75404"/>
    <w:rsid w:val="00D82C3D"/>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C12"/>
    <w:rsid w:val="00E54455"/>
    <w:rsid w:val="00E632B0"/>
    <w:rsid w:val="00E66BFA"/>
    <w:rsid w:val="00E70547"/>
    <w:rsid w:val="00E841A8"/>
    <w:rsid w:val="00EA0C97"/>
    <w:rsid w:val="00EA4A33"/>
    <w:rsid w:val="00EA4F88"/>
    <w:rsid w:val="00EA60E0"/>
    <w:rsid w:val="00EC0705"/>
    <w:rsid w:val="00ED3ED8"/>
    <w:rsid w:val="00ED5138"/>
    <w:rsid w:val="00EE1803"/>
    <w:rsid w:val="00EF1081"/>
    <w:rsid w:val="00F0072E"/>
    <w:rsid w:val="00F03408"/>
    <w:rsid w:val="00F059C1"/>
    <w:rsid w:val="00F068A8"/>
    <w:rsid w:val="00F07E72"/>
    <w:rsid w:val="00F17673"/>
    <w:rsid w:val="00F205F0"/>
    <w:rsid w:val="00F23539"/>
    <w:rsid w:val="00F23B73"/>
    <w:rsid w:val="00F27DD8"/>
    <w:rsid w:val="00F357E4"/>
    <w:rsid w:val="00F443EE"/>
    <w:rsid w:val="00F56F90"/>
    <w:rsid w:val="00F614B9"/>
    <w:rsid w:val="00F8154F"/>
    <w:rsid w:val="00FA09FB"/>
    <w:rsid w:val="00FA19E6"/>
    <w:rsid w:val="00FA2196"/>
    <w:rsid w:val="00FB116C"/>
    <w:rsid w:val="00FB1440"/>
    <w:rsid w:val="00FB2736"/>
    <w:rsid w:val="00FB72EB"/>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2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89E1-A7F0-44DA-ADFB-3B39BC79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1</Pages>
  <Words>469</Words>
  <Characters>2675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239</cp:revision>
  <dcterms:created xsi:type="dcterms:W3CDTF">2014-12-03T07:13:00Z</dcterms:created>
  <dcterms:modified xsi:type="dcterms:W3CDTF">2015-01-21T09:51:00Z</dcterms:modified>
</cp:coreProperties>
</file>