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E1" w:rsidRPr="00CE5AE1" w:rsidRDefault="00CE5AE1" w:rsidP="00CE5AE1">
      <w:pPr>
        <w:spacing w:line="240" w:lineRule="atLeast"/>
        <w:jc w:val="center"/>
        <w:rPr>
          <w:color w:val="000000"/>
          <w:lang w:eastAsia="tr-TR"/>
        </w:rPr>
      </w:pPr>
      <w:r w:rsidRPr="00CE5AE1">
        <w:rPr>
          <w:color w:val="000000"/>
          <w:sz w:val="18"/>
          <w:szCs w:val="18"/>
          <w:lang w:eastAsia="tr-TR"/>
        </w:rPr>
        <w:t>İHALEYE DAVET (İD)</w:t>
      </w:r>
    </w:p>
    <w:p w:rsidR="00CE5AE1" w:rsidRPr="00CE5AE1" w:rsidRDefault="00CE5AE1" w:rsidP="00CE5AE1">
      <w:pPr>
        <w:spacing w:line="240" w:lineRule="atLeast"/>
        <w:ind w:firstLine="567"/>
        <w:jc w:val="both"/>
        <w:rPr>
          <w:color w:val="000000"/>
          <w:lang w:eastAsia="tr-TR"/>
        </w:rPr>
      </w:pPr>
      <w:r w:rsidRPr="00CE5AE1">
        <w:rPr>
          <w:b/>
          <w:bCs/>
          <w:color w:val="0000CC"/>
          <w:spacing w:val="-4"/>
          <w:sz w:val="18"/>
          <w:szCs w:val="18"/>
          <w:lang w:eastAsia="tr-TR"/>
        </w:rPr>
        <w:t>Türkiye Cumhuriyeti İstanbul Valiliği İstanbul Proje Koordinasyon Biriminden (İPKB):</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İstanbul Sismik Riskin Azaltılması ve Acil Durum Hazırlık Projesi (İSMEP)</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 </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“EĞİTİM YAPILARI YENİDEN YAPIM İNŞAATI SÖZLEŞME PAKETİ”</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(AF-CEB-WB4-YAPIM-03)</w:t>
      </w:r>
    </w:p>
    <w:p w:rsidR="00CE5AE1" w:rsidRPr="00CE5AE1" w:rsidRDefault="00CE5AE1" w:rsidP="00CE5AE1">
      <w:pPr>
        <w:spacing w:line="240" w:lineRule="atLeast"/>
        <w:jc w:val="both"/>
        <w:rPr>
          <w:color w:val="000000"/>
          <w:lang w:eastAsia="tr-TR"/>
        </w:rPr>
      </w:pPr>
      <w:r w:rsidRPr="00CE5AE1">
        <w:rPr>
          <w:color w:val="000000"/>
          <w:sz w:val="18"/>
          <w:szCs w:val="18"/>
          <w:lang w:eastAsia="tr-TR"/>
        </w:rPr>
        <w:t> </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1. Türkiye Cumhuriyeti, Dünya Bankası (IBRD), Avrupa Yatırım Bankası (EIB), Avrupa Konseyi Kalkınma Bankası (CEB) ve İslam Kalkınma Bankası’ndan (IDB) İstanbul’daki Hastane, Okul ve İdari Binaları İçeren Kamu Binalarının yeniden yapımında kullanılmak üzere kredi almıştır.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2. Türkiye Cumhuriyeti İstanbul Valiliği İstanbul Proje Koordinasyon Birimi (İPKB), firmaları aşağıdaki tabloda belirtilen inşaat sözleşme paketi kapsamındaki eğitimyapılarının anahtar teslimi götürü bedel yeniden yapım işleri için Dünya Bankasının satın alma esas ve usulleri doğrultusunda, Uluslararası Rekabetçi İhale – Küçük İşler (International CompetitiveBidding – ICB Smaller Works) yöntemiyle kapalı tekliflerini sunmaya davet etmektedir.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İnşaat Sözleşme Paketi – (AF-CEB-WB4-YAPIM-03)</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İstanbul İlinde 3 adet okulun yeniden yapım işi anahtar teslimi götürü bedel olarak gerçekleştirilecektir.</w:t>
      </w:r>
    </w:p>
    <w:p w:rsidR="00CE5AE1" w:rsidRPr="00CE5AE1" w:rsidRDefault="00CE5AE1" w:rsidP="00CE5AE1">
      <w:pPr>
        <w:spacing w:line="240" w:lineRule="atLeast"/>
        <w:jc w:val="both"/>
        <w:rPr>
          <w:color w:val="000000"/>
          <w:lang w:eastAsia="tr-TR"/>
        </w:rPr>
      </w:pPr>
      <w:r w:rsidRPr="00CE5AE1">
        <w:rPr>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09"/>
        <w:gridCol w:w="851"/>
        <w:gridCol w:w="850"/>
        <w:gridCol w:w="4678"/>
      </w:tblGrid>
      <w:tr w:rsidR="00CE5AE1" w:rsidRPr="00CE5AE1" w:rsidTr="00CE5AE1">
        <w:tc>
          <w:tcPr>
            <w:tcW w:w="70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AF-CEB-WB4-YAPIM-03</w:t>
            </w:r>
          </w:p>
        </w:tc>
      </w:tr>
      <w:tr w:rsidR="00CE5AE1" w:rsidRPr="00CE5AE1" w:rsidTr="00CE5AE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S. No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İli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İlçesi</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Yapının Adı-Adresi</w:t>
            </w:r>
          </w:p>
        </w:tc>
      </w:tr>
      <w:tr w:rsidR="00CE5AE1" w:rsidRPr="00CE5AE1" w:rsidTr="00CE5AE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Ataşehir</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rPr>
                <w:lang w:eastAsia="tr-TR"/>
              </w:rPr>
            </w:pPr>
            <w:r w:rsidRPr="00CE5AE1">
              <w:rPr>
                <w:sz w:val="18"/>
                <w:szCs w:val="18"/>
                <w:lang w:eastAsia="tr-TR"/>
              </w:rPr>
              <w:t>Yunus Emre İşitme Engelliler Okulu</w:t>
            </w:r>
          </w:p>
          <w:p w:rsidR="00CE5AE1" w:rsidRPr="00CE5AE1" w:rsidRDefault="00CE5AE1" w:rsidP="00CE5AE1">
            <w:pPr>
              <w:spacing w:line="240" w:lineRule="atLeast"/>
              <w:rPr>
                <w:lang w:eastAsia="tr-TR"/>
              </w:rPr>
            </w:pPr>
            <w:r w:rsidRPr="00CE5AE1">
              <w:rPr>
                <w:sz w:val="18"/>
                <w:szCs w:val="18"/>
                <w:lang w:eastAsia="tr-TR"/>
              </w:rPr>
              <w:t>İncedere, Baraj Yolu İmar İskan Blokları, 34760 Ataşehir/İSTANBUL</w:t>
            </w:r>
          </w:p>
        </w:tc>
      </w:tr>
      <w:tr w:rsidR="00CE5AE1" w:rsidRPr="00CE5AE1" w:rsidTr="00CE5AE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Bağcılar</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both"/>
              <w:rPr>
                <w:lang w:eastAsia="tr-TR"/>
              </w:rPr>
            </w:pPr>
            <w:r w:rsidRPr="00B326C8">
              <w:rPr>
                <w:rFonts w:eastAsiaTheme="majorEastAsia"/>
                <w:lang w:eastAsia="tr-TR"/>
              </w:rPr>
              <w:t>Sancaktepe </w:t>
            </w:r>
            <w:r w:rsidRPr="00B326C8">
              <w:rPr>
                <w:lang w:eastAsia="tr-TR"/>
              </w:rPr>
              <w:t>Eğitim Uygulama Okulu ve İş Eğitim Merkezi</w:t>
            </w:r>
            <w:r w:rsidRPr="00CE5AE1">
              <w:rPr>
                <w:sz w:val="17"/>
                <w:szCs w:val="17"/>
                <w:lang w:eastAsia="tr-TR"/>
              </w:rPr>
              <w:t>(Yeni Arsa) Fevzi Çakmak Mah. Osman Gazi Bulvarı 2/18 Sok.</w:t>
            </w:r>
            <w:r w:rsidRPr="00CE5AE1">
              <w:rPr>
                <w:sz w:val="18"/>
                <w:szCs w:val="18"/>
                <w:lang w:eastAsia="tr-TR"/>
              </w:rPr>
              <w:t>Bağcılar/İSTANBUL</w:t>
            </w:r>
          </w:p>
        </w:tc>
      </w:tr>
      <w:tr w:rsidR="00CE5AE1" w:rsidRPr="00CE5AE1" w:rsidTr="00CE5AE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Beyoğlu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rPr>
                <w:lang w:eastAsia="tr-TR"/>
              </w:rPr>
            </w:pPr>
            <w:r w:rsidRPr="00CE5AE1">
              <w:rPr>
                <w:sz w:val="18"/>
                <w:szCs w:val="18"/>
                <w:lang w:eastAsia="tr-TR"/>
              </w:rPr>
              <w:t>Halıcıoğlu İşitme Engelliler Okulu</w:t>
            </w:r>
          </w:p>
          <w:p w:rsidR="00CE5AE1" w:rsidRPr="00CE5AE1" w:rsidRDefault="00CE5AE1" w:rsidP="00CE5AE1">
            <w:pPr>
              <w:spacing w:line="240" w:lineRule="atLeast"/>
              <w:rPr>
                <w:lang w:eastAsia="tr-TR"/>
              </w:rPr>
            </w:pPr>
            <w:r w:rsidRPr="00CE5AE1">
              <w:rPr>
                <w:sz w:val="18"/>
                <w:szCs w:val="18"/>
                <w:lang w:eastAsia="tr-TR"/>
              </w:rPr>
              <w:t>Halıcıoğlu Mah. Tokaç Sok. No: 16 Beyoğlu/İSTANBUL</w:t>
            </w:r>
          </w:p>
        </w:tc>
      </w:tr>
    </w:tbl>
    <w:p w:rsidR="00CE5AE1" w:rsidRPr="00CE5AE1" w:rsidRDefault="00CE5AE1" w:rsidP="00CE5AE1">
      <w:pPr>
        <w:spacing w:line="240" w:lineRule="atLeast"/>
        <w:jc w:val="both"/>
        <w:rPr>
          <w:color w:val="000000"/>
          <w:lang w:eastAsia="tr-TR"/>
        </w:rPr>
      </w:pPr>
      <w:r w:rsidRPr="00CE5AE1">
        <w:rPr>
          <w:color w:val="000000"/>
          <w:sz w:val="18"/>
          <w:szCs w:val="18"/>
          <w:lang w:eastAsia="tr-TR"/>
        </w:rPr>
        <w:t> </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3. İnşaat Sözleşme Paketi için geçerli olan minimum yeterlilik kıstasları aşağıda belirtilmektedir.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 Gerçekleştirilmiş olan inşaat işleri bazındaki son 3 (üç) yılın (2011-2012-2013), Yeminli Mali Müşavir (YMM) onaylı hakediş belgeleri ile tevsik edilmiş, Yeminli Mali Müşavir (YMM) veya Vergi dairesi onaylı yıllık inşaat cirosunun, Çevre ve Şehircilik Bakanlığı karne katsayıları kullanılmak sureti ile 2014 yılına çevrilmiş tutarlarının aritmetik ortalamasının en az 35.000.000,00 TL olması gerekmektedir (2014 yılında gerçekleştirilen inşaat işleri cirosu da 2013 yılı cirosuna eklenecektir).Teklif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m2 yeni bina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III. Teklif sahibinin mevcut nakit kredi olanaklarının minimum miktarının 7.750.000,00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 xml:space="preserve">IV. Ortak Girişim olarak başvurulması halinde ortak girişim beyannamesi ve İhale Davet Belgelerinde istenen diğer belgeler ve şartlar sağlanacaktır. Ancak, bir ortak girişimin yeterli görülebilmesi için, ortaklardan her birinin I, II. ve III </w:t>
      </w:r>
      <w:r w:rsidRPr="00CE5AE1">
        <w:rPr>
          <w:color w:val="000000"/>
          <w:sz w:val="18"/>
          <w:szCs w:val="18"/>
          <w:lang w:eastAsia="tr-TR"/>
        </w:rPr>
        <w:lastRenderedPageBreak/>
        <w:t>maddelerdeki asgari kriterlerin en az %25'ini, Sorumlu ortağın (Pilot Ortak) ise bu kriterlerin en az %50'sini karşılaması gerekmektedir. Ancak Ortakların toplamda mutlaka %100 değerine ulaşması gerekmektedir.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V. İşin tatminkâr bir şekilde yapımı için gerekli olabilecek adet ve tecrübede kilit personel ve bütün donanımlar ihaleyi alan firma tarafından sağlanacaktır.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VI. Başvuru sahibinin son beş yıl içinde taahhüt ettiği işlere ilişkin muhatabı olduğu davalarla ilgili bilgiler,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VII. Ortak Girişim olarak başvurulması halinde ortak girişim beyannamesi ve ihale davet belgelerinde istenen diğer belgeler.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4 - 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500.-TL veya 200 Euro karşılığında aynı adresten satın alabileceklerdir. İhale doküman bedeli, İstanbul Proje Koordinasyon Birimi (İPKB)’ninİstanbul Vakıfbank Mercan Şubesinde bulunan: TL için IBAN-NO: TR31 0001 5001 5800 7286 1036 53 veya Euro için IBAN-NO: TR91 0001 5001 5804 8000 3946 63 numaralı hesabına, teklifin verileceği sözleşme paketine ait referans numarası (AF-CEB-WB4-YAPIM-03) yazılarak yatırılacak, dokümanı satın almak için WEB sitemizde örneği bulunan dilekçe eşliğinde başvurulacak olup yatırılan bedel, hiçbir nedenle iade edilmeyecektir.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5 - Teklifler, teklif açılış tarihinden itibaren 90 takvim günü süreyle geçerli olacak ve teklif para birimi cinsinden veya konvertibl başka bir para birimi cinsinden ihale paketi için 600.000,00 TL veya eşdeğeri bir geçici teminatla birlikte aşağıda verilen adrese 23 Şubat 2015 günü saat (yerel saat) 14:00’e kadar teslim edilmelidir. Elektronik teklife izin verilmeyecektir.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6 - Teklifler, teklif sahiplerinin temsilcilerinden hazır bulunanların önünde aynı gün ve saatte aşağıdaki adreste açılacaktır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7 - Geç verilen teklifler kabul edilmeyecek ve açılmadan iade edilecektir.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 </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Türkiye Cumhuriyeti</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İstanbul Valiliği</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İstanbul Proje Koordinasyon Birimi (İPKB)</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Mimar Kemalettin Mah. Tiyatro Caddesi No: 8    34126</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Beyazıt/İSTANBUL/TÜRKİYE</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Tel        : +(90) (212) 518 55 00</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Fax       : +(90) (212) 518 55 05</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E-mail  : info@ipkb.gov.tr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Web     : www.ipkb.gov.tr</w:t>
      </w:r>
    </w:p>
    <w:p w:rsidR="00CE5AE1" w:rsidRPr="00CE5AE1" w:rsidRDefault="00CE5AE1" w:rsidP="00CE5AE1">
      <w:pPr>
        <w:spacing w:line="240" w:lineRule="atLeast"/>
        <w:ind w:firstLine="567"/>
        <w:jc w:val="right"/>
        <w:rPr>
          <w:color w:val="000000"/>
          <w:lang w:eastAsia="tr-TR"/>
        </w:rPr>
      </w:pPr>
      <w:r w:rsidRPr="00CE5AE1">
        <w:rPr>
          <w:color w:val="000000"/>
          <w:sz w:val="18"/>
          <w:szCs w:val="18"/>
          <w:lang w:eastAsia="tr-TR"/>
        </w:rPr>
        <w:t>384/1/1-1</w:t>
      </w:r>
    </w:p>
    <w:p w:rsidR="00CE5AE1" w:rsidRPr="00CE5AE1" w:rsidRDefault="00CE5AE1" w:rsidP="00CE5AE1">
      <w:pPr>
        <w:spacing w:line="240" w:lineRule="atLeast"/>
        <w:jc w:val="center"/>
        <w:rPr>
          <w:color w:val="000000"/>
          <w:lang w:eastAsia="tr-TR"/>
        </w:rPr>
      </w:pPr>
      <w:r w:rsidRPr="00CE5AE1">
        <w:rPr>
          <w:color w:val="000000"/>
          <w:sz w:val="28"/>
          <w:szCs w:val="28"/>
          <w:lang w:eastAsia="tr-TR"/>
        </w:rPr>
        <w:t>—————</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INVITATION FOR BIDS (IFB)</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 </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REPUBLIC OF TURKEY</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Governorship of Istanbul</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Istanbul Project Coordination Unit</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İstanbul Seismic Risk Mitigation and Emergency Preparedness Project (ISMEP)</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 </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“CONTRACT PACKAGE FOR RECONSTRUCTION WORK OF EDUCATIONAL BUILDINGS”</w:t>
      </w:r>
    </w:p>
    <w:p w:rsidR="00CE5AE1" w:rsidRPr="00CE5AE1" w:rsidRDefault="00CE5AE1" w:rsidP="00CE5AE1">
      <w:pPr>
        <w:spacing w:line="240" w:lineRule="atLeast"/>
        <w:jc w:val="center"/>
        <w:rPr>
          <w:color w:val="000000"/>
          <w:lang w:eastAsia="tr-TR"/>
        </w:rPr>
      </w:pPr>
      <w:r w:rsidRPr="00CE5AE1">
        <w:rPr>
          <w:color w:val="000000"/>
          <w:sz w:val="18"/>
          <w:szCs w:val="18"/>
          <w:lang w:eastAsia="tr-TR"/>
        </w:rPr>
        <w:t>(AF-CEB-WB4-WORKS-03)</w:t>
      </w:r>
    </w:p>
    <w:p w:rsidR="00CE5AE1" w:rsidRPr="00CE5AE1" w:rsidRDefault="00CE5AE1" w:rsidP="00CE5AE1">
      <w:pPr>
        <w:spacing w:line="240" w:lineRule="atLeast"/>
        <w:jc w:val="both"/>
        <w:rPr>
          <w:color w:val="000000"/>
          <w:lang w:eastAsia="tr-TR"/>
        </w:rPr>
      </w:pPr>
      <w:r w:rsidRPr="00CE5AE1">
        <w:rPr>
          <w:color w:val="000000"/>
          <w:sz w:val="18"/>
          <w:szCs w:val="18"/>
          <w:lang w:eastAsia="tr-TR"/>
        </w:rPr>
        <w:t> </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1. The Government of Turkey has received a loan from the the International Bank for Reconstruction andDevelopment (IBRD), European Investment Bank (EIB), Council of Europe Development Bank (CEB) and IslamicDevelopment Bank (IDB), and intends to use this loan for reconstruction of Public Buildings covering Hospitals, Schools and Administrative Buildings in Istanbul.</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2. Republic of Turkey, Governorship of Istanbul, Istanbul Project Coordination Unit (IPCU) now invites theBidders to submit sealed bids under International Competitive Bidding – Smaller Works (ICB) in accordance with theWorld Bank procurement guidelines for the Reconstruction Work of Educational Buildings in lump sum bases underthe scope of contract package given below.</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Construction Contract Id. No – (AF-CEB-WB4-WORKS-03)</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Lump Sum Turnkey Reconstruction works of the following 3 Educational Buildings shall be realized inIstanbul.</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67"/>
        <w:gridCol w:w="851"/>
        <w:gridCol w:w="850"/>
        <w:gridCol w:w="4820"/>
      </w:tblGrid>
      <w:tr w:rsidR="00CE5AE1" w:rsidRPr="00CE5AE1" w:rsidTr="00CE5AE1">
        <w:tc>
          <w:tcPr>
            <w:tcW w:w="70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AF-CEB-WB4-YAPIM-03</w:t>
            </w:r>
          </w:p>
        </w:tc>
      </w:tr>
      <w:tr w:rsidR="00CE5AE1" w:rsidRPr="00CE5AE1" w:rsidTr="00CE5AE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No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City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District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rPr>
                <w:lang w:eastAsia="tr-TR"/>
              </w:rPr>
            </w:pPr>
            <w:r w:rsidRPr="00CE5AE1">
              <w:rPr>
                <w:sz w:val="18"/>
                <w:szCs w:val="18"/>
                <w:lang w:eastAsia="tr-TR"/>
              </w:rPr>
              <w:t>Name- Address of the Building</w:t>
            </w:r>
          </w:p>
        </w:tc>
      </w:tr>
      <w:tr w:rsidR="00CE5AE1" w:rsidRPr="00CE5AE1" w:rsidTr="00CE5AE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lastRenderedPageBreak/>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Ataşehir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rPr>
                <w:lang w:eastAsia="tr-TR"/>
              </w:rPr>
            </w:pPr>
            <w:r w:rsidRPr="00CE5AE1">
              <w:rPr>
                <w:sz w:val="18"/>
                <w:szCs w:val="18"/>
                <w:lang w:eastAsia="tr-TR"/>
              </w:rPr>
              <w:t>Yunus Emre Hearing-Impaired School</w:t>
            </w:r>
          </w:p>
          <w:p w:rsidR="00CE5AE1" w:rsidRPr="00CE5AE1" w:rsidRDefault="00CE5AE1" w:rsidP="00CE5AE1">
            <w:pPr>
              <w:spacing w:line="240" w:lineRule="atLeast"/>
              <w:rPr>
                <w:lang w:eastAsia="tr-TR"/>
              </w:rPr>
            </w:pPr>
            <w:r w:rsidRPr="00CE5AE1">
              <w:rPr>
                <w:sz w:val="18"/>
                <w:szCs w:val="18"/>
                <w:lang w:eastAsia="tr-TR"/>
              </w:rPr>
              <w:t>İncedere, Baraj Yolu İmar İskan Blokları, 34760 Ataşehir/İSTANBUL</w:t>
            </w:r>
          </w:p>
        </w:tc>
      </w:tr>
      <w:tr w:rsidR="00CE5AE1" w:rsidRPr="00CE5AE1" w:rsidTr="00CE5AE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Bağcılar</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both"/>
              <w:rPr>
                <w:lang w:eastAsia="tr-TR"/>
              </w:rPr>
            </w:pPr>
            <w:r w:rsidRPr="00CE5AE1">
              <w:rPr>
                <w:sz w:val="18"/>
                <w:szCs w:val="18"/>
                <w:lang w:eastAsia="tr-TR"/>
              </w:rPr>
              <w:t>Sancaktepe Special Education School and Training Center (New Site) Fevzi Çakmak Mah. Osman Gazi Bulvarı 2/18 Sok. Bağcılar/İSTANBUL</w:t>
            </w:r>
          </w:p>
        </w:tc>
      </w:tr>
      <w:tr w:rsidR="00CE5AE1" w:rsidRPr="00CE5AE1" w:rsidTr="00CE5AE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jc w:val="center"/>
              <w:rPr>
                <w:lang w:eastAsia="tr-TR"/>
              </w:rPr>
            </w:pPr>
            <w:r w:rsidRPr="00CE5AE1">
              <w:rPr>
                <w:sz w:val="18"/>
                <w:szCs w:val="18"/>
                <w:lang w:eastAsia="tr-TR"/>
              </w:rPr>
              <w:t>Beyoğlu</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AE1" w:rsidRPr="00CE5AE1" w:rsidRDefault="00CE5AE1" w:rsidP="00CE5AE1">
            <w:pPr>
              <w:spacing w:line="240" w:lineRule="atLeast"/>
              <w:rPr>
                <w:lang w:eastAsia="tr-TR"/>
              </w:rPr>
            </w:pPr>
            <w:r w:rsidRPr="00CE5AE1">
              <w:rPr>
                <w:sz w:val="18"/>
                <w:szCs w:val="18"/>
                <w:lang w:eastAsia="tr-TR"/>
              </w:rPr>
              <w:t>Halıcıoğlu Hearing-Impaired School</w:t>
            </w:r>
          </w:p>
          <w:p w:rsidR="00CE5AE1" w:rsidRPr="00CE5AE1" w:rsidRDefault="00CE5AE1" w:rsidP="00CE5AE1">
            <w:pPr>
              <w:spacing w:line="240" w:lineRule="atLeast"/>
              <w:rPr>
                <w:lang w:eastAsia="tr-TR"/>
              </w:rPr>
            </w:pPr>
            <w:r w:rsidRPr="00CE5AE1">
              <w:rPr>
                <w:sz w:val="18"/>
                <w:szCs w:val="18"/>
                <w:lang w:eastAsia="tr-TR"/>
              </w:rPr>
              <w:t>Halıcıoğlu Mah. Tokaç Sok. No:16 Beyoğlu / İSTANBUL</w:t>
            </w:r>
          </w:p>
        </w:tc>
      </w:tr>
    </w:tbl>
    <w:p w:rsidR="00CE5AE1" w:rsidRPr="00CE5AE1" w:rsidRDefault="00CE5AE1" w:rsidP="00CE5AE1">
      <w:pPr>
        <w:spacing w:line="240" w:lineRule="atLeast"/>
        <w:jc w:val="both"/>
        <w:rPr>
          <w:color w:val="000000"/>
          <w:lang w:eastAsia="tr-TR"/>
        </w:rPr>
      </w:pPr>
      <w:r w:rsidRPr="00CE5AE1">
        <w:rPr>
          <w:color w:val="000000"/>
          <w:sz w:val="18"/>
          <w:szCs w:val="18"/>
          <w:lang w:eastAsia="tr-TR"/>
        </w:rPr>
        <w:t> </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3. Minimum qualification criteria valid for contract package are given below:</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 Minimum average annual turnover in construction work of 35.000.000,00 TL, calculated as the average of total certified payments certified by Certified (Sworn-in) Public Accountant and received for construction works inprogress or completed, within the last 3 (three) years (2011, 2012 and 2013), for which the annual turnovers forcorresponding years should be brought to 2014 basis by using Ministry of Environment and Urban Planning certificatecoefficients (Turnover in construction works performed in 2014 shall be included to turnover for year 2013). If, theBidder has been awarded or has an on-going contract for a construction contract with IPCU for which the provisionalacceptance has not yet been issued, the sum of such contract prices must be subtracted from the sum of the-last-three-years-annual turnover in construction work. As a result of this reduction, if the average annual turnover amount for thelast three years has become less than the requested minimum average annual turnover amount above, the Bidder cannotbe qualified. In case the Bidder performing such contract (s) within the structure of a joint venture for IPCU, thefinancial value of said contract should be taken as the proportionate amount of the partnership share of the Bidder insuch Joint Venture. As a result of this reduction, if the average annual turnover amount for the last three years hasbecome less than the requested minimum average annual turnover amount above, the Bidder cannot be qualified.</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II. Successful experience performed in accordance with the contract and technical specifications for public orprivate sector either in Turkey or abroad as a prime contractor, or a joint venture partner or subcontractor, within last 5 (five) years (2009-2013) of having satisfactorily completed works of similar nature and complexity as follows; Construction of a new building with a total closed construction area of 20.000 m2 (calculated as sum of closedconstruction area) under one contract. Successful completion of the works should be evidenced by the work completioncertificates (for a natural person, or a legal entity other than a public authority or organizations in public capacity) takenfrom relevant institution or organization. If the construction area is located within the municipal borders or adjacentarea, the certificates must be approved by the relevant municipality otherwise certificates must be approved by therelevant Provincial Directorate of Environment and Urban Planning. Works completion certificates taken up to the bidsubmission date will also be accepted. Work status certificates will not be accepted.</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III. The Bidder must demonstrate and prove at a minimum 7.750.000,00 TL available cash credit line in a bank.In case the Bidder has been awarded or has an on-going contract for a construction contract with IPCU for which theprovisional acceptance has not yet been issued, the Bidder must have a line of cash credit in the total sum of requestedlines of bank cash credit at the bidding time of such contracts plus the requested amount as minimum financialrequirement by this Bid. In case the Bidder performing such contract (s) within the structure of a joint venture for IPCU,the financial value of said contract should be taken as the proportionate amount of the partnership share of the Bidder insuch Joint Venture</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IV. In the form of Joint Ventures, The Bidder shall submit The Joint Venture Declaration and meet thequalification criteria as well as other documentation and conditions given by the Invitation for Bids. For a JointVenture to be qualified; Leading Partner (Partner in Charge) shall meet at least 50% of the minimum criteria specified inItems I, II, and III specified above, while the each of the other partners shall meet at least 25 % of the minimum criteriaspecified in Item I, </w:t>
      </w:r>
      <w:r w:rsidRPr="00CE5AE1">
        <w:rPr>
          <w:color w:val="000000"/>
          <w:spacing w:val="-2"/>
          <w:sz w:val="18"/>
          <w:szCs w:val="18"/>
          <w:lang w:eastAsia="tr-TR"/>
        </w:rPr>
        <w:t>II, and III above. However, all partners must satisfy collectively %100 of each qualification criteria.</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V. The Bidder shall provide required number of key personnel with appropriate experience and all necessaryequipments for the satisfactory completion of the Works.</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VI. The Bidder shall provide accurate information on any current or past litigation or arbitration resulting fromcontracts completed, terminated, or under execution by him over the past 5 (five) years.</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lastRenderedPageBreak/>
        <w:t>VII. In the form of Joint Ventures, The Joint Venture Declaration and other documentation given by theInvitation for Bids</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4. Interested Bidders may obtain further information and review the bidding documents at the address of IPCUgiven below between the working hours of 09:00-17:00. The Bidders may purchase the bidding documents regardingto this package at the same address by a written application and upon payment of a non-refundable fee of 500 TurkishLiras or 200 Euros. Interested bidders shall deposit aforementioned non-refundable fee to the IPCU’s account: for TL IBAN-NO: TR31 0001 5001 5800 7286 1036 53 and for Euro IBAN-NO: TR91 0001 5001 5804 8000 3946 63 at Vakıfbank, Mercan Branch/İstanbul/Turkey together with the Contract Identification No of AF-CEB-WB4-WORKS-03. The purchasing application shall be made by a letter for which a sample is given at the web site of IPCU and thepayment shall not be refunded for any reason.</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5. Bids shall be valid for a period of 90 calendar days after Bid opening and accompanied by a Bank security of 600.00,00 TL or equivalent minimum in bid price currency or another convertible currency for tender package and shallbe delivered to the address given below on or before February 23rd, 2015 at 14:00 hrs. local time. Electronic bids arenot allowed.</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6. Bids will be opened at the same time and hours given above in the presence of the representative of thebidders who wish to attend.</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7. Late bids will be rejected and returned unopened to the bidders.</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 </w:t>
      </w:r>
      <w:bookmarkStart w:id="0" w:name="_GoBack"/>
      <w:bookmarkEnd w:id="0"/>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Republic of Turkey</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Governorship of Istanbul</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Istanbul Project Coordination Unit (IPCU)</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Mimar Kemalettin Mah.Tiyatro Caddesi No: 8    34126</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Beyazıt/Istanbul/Turkey</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Phone   : +(90) (212) 518 55 00</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Fax       : +(90) (212) 518 55 05</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E-mail  : info@ipkb.gov.tr</w:t>
      </w:r>
    </w:p>
    <w:p w:rsidR="00CE5AE1" w:rsidRPr="00CE5AE1" w:rsidRDefault="00CE5AE1" w:rsidP="00CE5AE1">
      <w:pPr>
        <w:spacing w:line="240" w:lineRule="atLeast"/>
        <w:ind w:firstLine="567"/>
        <w:jc w:val="both"/>
        <w:rPr>
          <w:color w:val="000000"/>
          <w:lang w:eastAsia="tr-TR"/>
        </w:rPr>
      </w:pPr>
      <w:r w:rsidRPr="00CE5AE1">
        <w:rPr>
          <w:color w:val="000000"/>
          <w:sz w:val="18"/>
          <w:szCs w:val="18"/>
          <w:lang w:eastAsia="tr-TR"/>
        </w:rPr>
        <w:t>Web     : www.ipkb.gov.tr</w:t>
      </w:r>
    </w:p>
    <w:p w:rsidR="00CE5AE1" w:rsidRPr="00CE5AE1" w:rsidRDefault="00CE5AE1" w:rsidP="00CE5AE1">
      <w:pPr>
        <w:spacing w:line="240" w:lineRule="atLeast"/>
        <w:ind w:firstLine="567"/>
        <w:jc w:val="right"/>
        <w:rPr>
          <w:color w:val="000000"/>
          <w:lang w:eastAsia="tr-TR"/>
        </w:rPr>
      </w:pPr>
      <w:r w:rsidRPr="00CE5AE1">
        <w:rPr>
          <w:color w:val="000000"/>
          <w:sz w:val="18"/>
          <w:szCs w:val="18"/>
          <w:lang w:eastAsia="tr-TR"/>
        </w:rPr>
        <w:t>384/2/1-1</w:t>
      </w:r>
    </w:p>
    <w:p w:rsidR="00CE5AE1" w:rsidRPr="00CE5AE1" w:rsidRDefault="00CE5AE1" w:rsidP="00CE5AE1">
      <w:pPr>
        <w:spacing w:line="240" w:lineRule="atLeast"/>
        <w:rPr>
          <w:color w:val="000000"/>
          <w:sz w:val="27"/>
          <w:szCs w:val="27"/>
          <w:lang w:eastAsia="tr-TR"/>
        </w:rPr>
      </w:pPr>
      <w:hyperlink r:id="rId8" w:anchor="_top" w:history="1">
        <w:r w:rsidRPr="00CE5AE1">
          <w:rPr>
            <w:rFonts w:ascii="Arial" w:hAnsi="Arial" w:cs="Arial"/>
            <w:color w:val="800080"/>
            <w:sz w:val="28"/>
            <w:szCs w:val="28"/>
            <w:u w:val="single"/>
            <w:lang w:val="en-US" w:eastAsia="tr-TR"/>
          </w:rPr>
          <w:t>▲</w:t>
        </w:r>
      </w:hyperlink>
    </w:p>
    <w:p w:rsidR="00CE5AE1" w:rsidRDefault="00CE5AE1" w:rsidP="00CE5AE1">
      <w:pPr>
        <w:spacing w:line="240" w:lineRule="atLeast"/>
        <w:jc w:val="center"/>
        <w:rPr>
          <w:color w:val="000000"/>
          <w:lang w:eastAsia="tr-TR"/>
        </w:rPr>
      </w:pPr>
      <w:r w:rsidRPr="00CE5AE1">
        <w:rPr>
          <w:color w:val="000000"/>
          <w:lang w:eastAsia="tr-TR"/>
        </w:rPr>
        <w:pict>
          <v:rect id="_x0000_i1025" style="width:453.6pt;height:.75pt" o:hralign="center" o:hrstd="t" o:hrnoshade="t" o:hr="t" fillcolor="#f90" stroked="f"/>
        </w:pict>
      </w:r>
    </w:p>
    <w:p w:rsidR="00195AFE" w:rsidRDefault="00195AFE" w:rsidP="00CE5AE1">
      <w:pPr>
        <w:spacing w:line="240" w:lineRule="atLeast"/>
        <w:jc w:val="center"/>
        <w:rPr>
          <w:color w:val="000000"/>
          <w:lang w:eastAsia="tr-TR"/>
        </w:rPr>
      </w:pPr>
    </w:p>
    <w:p w:rsidR="00195AFE" w:rsidRDefault="00195AFE" w:rsidP="00CE5AE1">
      <w:pPr>
        <w:spacing w:line="240" w:lineRule="atLeast"/>
        <w:jc w:val="center"/>
        <w:rPr>
          <w:color w:val="000000"/>
          <w:lang w:eastAsia="tr-TR"/>
        </w:rPr>
      </w:pPr>
    </w:p>
    <w:p w:rsidR="00195AFE" w:rsidRDefault="00195AFE" w:rsidP="00CE5AE1">
      <w:pPr>
        <w:spacing w:line="240" w:lineRule="atLeast"/>
        <w:jc w:val="center"/>
        <w:rPr>
          <w:color w:val="000000"/>
          <w:lang w:eastAsia="tr-TR"/>
        </w:rPr>
      </w:pPr>
    </w:p>
    <w:sectPr w:rsidR="00195A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04" w:rsidRDefault="00D75404" w:rsidP="00B06E28">
      <w:r>
        <w:separator/>
      </w:r>
    </w:p>
  </w:endnote>
  <w:endnote w:type="continuationSeparator" w:id="0">
    <w:p w:rsidR="00D75404" w:rsidRDefault="00D75404"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04" w:rsidRDefault="00D75404" w:rsidP="00B06E28">
      <w:r>
        <w:separator/>
      </w:r>
    </w:p>
  </w:footnote>
  <w:footnote w:type="continuationSeparator" w:id="0">
    <w:p w:rsidR="00D75404" w:rsidRDefault="00D75404"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1972"/>
    <w:rsid w:val="00B46896"/>
    <w:rsid w:val="00B7261E"/>
    <w:rsid w:val="00B80751"/>
    <w:rsid w:val="00B875C1"/>
    <w:rsid w:val="00B948F1"/>
    <w:rsid w:val="00B97038"/>
    <w:rsid w:val="00BA057A"/>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0C97"/>
    <w:rsid w:val="00EA4A33"/>
    <w:rsid w:val="00EA4F88"/>
    <w:rsid w:val="00EA60E0"/>
    <w:rsid w:val="00EC0705"/>
    <w:rsid w:val="00ED3ED8"/>
    <w:rsid w:val="00ED5138"/>
    <w:rsid w:val="00EE1803"/>
    <w:rsid w:val="00EF1081"/>
    <w:rsid w:val="00F0072E"/>
    <w:rsid w:val="00F03408"/>
    <w:rsid w:val="00F059C1"/>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264E-C754-4670-A60C-04A48300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4</Pages>
  <Words>2276</Words>
  <Characters>12979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237</cp:revision>
  <dcterms:created xsi:type="dcterms:W3CDTF">2014-12-03T07:13:00Z</dcterms:created>
  <dcterms:modified xsi:type="dcterms:W3CDTF">2015-01-20T13:28:00Z</dcterms:modified>
</cp:coreProperties>
</file>