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072"/>
      </w:tblGrid>
      <w:tr w:rsidR="00FD398B" w:rsidRPr="00FD398B" w:rsidTr="00FD398B">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27"/>
              <w:gridCol w:w="2931"/>
            </w:tblGrid>
            <w:tr w:rsidR="00FD398B" w:rsidRPr="00FD398B">
              <w:trPr>
                <w:gridAfter w:val="1"/>
                <w:wAfter w:w="480" w:type="dxa"/>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D398B" w:rsidRPr="00FD398B" w:rsidRDefault="00FD398B" w:rsidP="00FD398B">
                  <w:pPr>
                    <w:spacing w:after="0" w:line="240" w:lineRule="atLeast"/>
                    <w:jc w:val="center"/>
                    <w:rPr>
                      <w:rFonts w:ascii="Times New Roman" w:eastAsia="Times New Roman" w:hAnsi="Times New Roman" w:cs="Times New Roman"/>
                      <w:sz w:val="24"/>
                      <w:szCs w:val="24"/>
                      <w:lang w:eastAsia="tr-TR"/>
                    </w:rPr>
                  </w:pPr>
                  <w:r w:rsidRPr="00FD398B">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FD398B" w:rsidRPr="00FD398B" w:rsidRDefault="00FD398B" w:rsidP="00FD398B">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FD398B">
                    <w:rPr>
                      <w:rFonts w:ascii="Arial" w:eastAsia="Times New Roman" w:hAnsi="Arial" w:cs="Arial"/>
                      <w:sz w:val="16"/>
                      <w:szCs w:val="16"/>
                      <w:lang w:eastAsia="tr-TR"/>
                    </w:rPr>
                    <w:t>Sayı : 30196</w:t>
                  </w:r>
                </w:p>
              </w:tc>
            </w:tr>
            <w:tr w:rsidR="00FD398B" w:rsidRPr="00FD398B">
              <w:trPr>
                <w:trHeight w:val="480"/>
                <w:jc w:val="center"/>
              </w:trPr>
              <w:tc>
                <w:tcPr>
                  <w:tcW w:w="8789" w:type="dxa"/>
                  <w:gridSpan w:val="3"/>
                  <w:tcMar>
                    <w:top w:w="0" w:type="dxa"/>
                    <w:left w:w="108" w:type="dxa"/>
                    <w:bottom w:w="0" w:type="dxa"/>
                    <w:right w:w="108" w:type="dxa"/>
                  </w:tcMar>
                  <w:vAlign w:val="center"/>
                  <w:hideMark/>
                </w:tcPr>
                <w:p w:rsidR="00FD398B" w:rsidRPr="00FD398B" w:rsidRDefault="00FD398B" w:rsidP="00FD398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D398B">
                    <w:rPr>
                      <w:rFonts w:ascii="Arial" w:eastAsia="Times New Roman" w:hAnsi="Arial" w:cs="Arial"/>
                      <w:b/>
                      <w:bCs/>
                      <w:color w:val="000080"/>
                      <w:sz w:val="18"/>
                      <w:szCs w:val="18"/>
                      <w:lang w:eastAsia="tr-TR"/>
                    </w:rPr>
                    <w:t>YÖNETMELİK</w:t>
                  </w:r>
                </w:p>
              </w:tc>
            </w:tr>
            <w:tr w:rsidR="00FD398B" w:rsidRPr="00FD398B">
              <w:trPr>
                <w:trHeight w:val="480"/>
                <w:jc w:val="center"/>
              </w:trPr>
              <w:tc>
                <w:tcPr>
                  <w:tcW w:w="8789" w:type="dxa"/>
                  <w:gridSpan w:val="3"/>
                  <w:tcMar>
                    <w:top w:w="0" w:type="dxa"/>
                    <w:left w:w="108" w:type="dxa"/>
                    <w:bottom w:w="0" w:type="dxa"/>
                    <w:right w:w="108" w:type="dxa"/>
                  </w:tcMar>
                  <w:vAlign w:val="center"/>
                  <w:hideMark/>
                </w:tcPr>
                <w:p w:rsidR="00FD398B" w:rsidRPr="00FD398B" w:rsidRDefault="00FD398B" w:rsidP="00FD398B">
                  <w:pPr>
                    <w:spacing w:after="0" w:line="240" w:lineRule="atLeast"/>
                    <w:ind w:firstLine="566"/>
                    <w:jc w:val="both"/>
                    <w:rPr>
                      <w:rFonts w:ascii="Times New Roman" w:eastAsia="Times New Roman" w:hAnsi="Times New Roman" w:cs="Times New Roman"/>
                      <w:u w:val="single"/>
                      <w:lang w:eastAsia="tr-TR"/>
                    </w:rPr>
                  </w:pPr>
                  <w:r w:rsidRPr="00FD398B">
                    <w:rPr>
                      <w:rFonts w:ascii="Times New Roman" w:eastAsia="Times New Roman" w:hAnsi="Times New Roman" w:cs="Times New Roman"/>
                      <w:sz w:val="18"/>
                      <w:szCs w:val="18"/>
                      <w:u w:val="single"/>
                      <w:lang w:eastAsia="tr-TR"/>
                    </w:rPr>
                    <w:t>Çevre ve Şehircilik Bakanlığından:</w:t>
                  </w:r>
                </w:p>
                <w:p w:rsidR="00FD398B" w:rsidRPr="00FD398B" w:rsidRDefault="00FD398B" w:rsidP="00FD398B">
                  <w:pPr>
                    <w:spacing w:before="56" w:after="0" w:line="240" w:lineRule="atLeast"/>
                    <w:jc w:val="center"/>
                    <w:rPr>
                      <w:rFonts w:ascii="Times New Roman" w:eastAsia="Times New Roman" w:hAnsi="Times New Roman" w:cs="Times New Roman"/>
                      <w:b/>
                      <w:bCs/>
                      <w:sz w:val="19"/>
                      <w:szCs w:val="19"/>
                      <w:lang w:eastAsia="tr-TR"/>
                    </w:rPr>
                  </w:pPr>
                  <w:r w:rsidRPr="00FD398B">
                    <w:rPr>
                      <w:rFonts w:ascii="Times New Roman" w:eastAsia="Times New Roman" w:hAnsi="Times New Roman" w:cs="Times New Roman"/>
                      <w:b/>
                      <w:bCs/>
                      <w:sz w:val="18"/>
                      <w:szCs w:val="18"/>
                      <w:lang w:eastAsia="tr-TR"/>
                    </w:rPr>
                    <w:t>PLANLI ALANLAR İMAR YÖNETMELİĞİNDE DEĞİŞİKLİK</w:t>
                  </w:r>
                </w:p>
                <w:p w:rsidR="00FD398B" w:rsidRPr="00FD398B" w:rsidRDefault="00FD398B" w:rsidP="00FD398B">
                  <w:pPr>
                    <w:spacing w:after="170" w:line="240" w:lineRule="atLeast"/>
                    <w:jc w:val="center"/>
                    <w:rPr>
                      <w:rFonts w:ascii="Times New Roman" w:eastAsia="Times New Roman" w:hAnsi="Times New Roman" w:cs="Times New Roman"/>
                      <w:b/>
                      <w:bCs/>
                      <w:sz w:val="19"/>
                      <w:szCs w:val="19"/>
                      <w:lang w:eastAsia="tr-TR"/>
                    </w:rPr>
                  </w:pPr>
                  <w:r w:rsidRPr="00FD398B">
                    <w:rPr>
                      <w:rFonts w:ascii="Times New Roman" w:eastAsia="Times New Roman" w:hAnsi="Times New Roman" w:cs="Times New Roman"/>
                      <w:b/>
                      <w:bCs/>
                      <w:sz w:val="18"/>
                      <w:szCs w:val="18"/>
                      <w:lang w:eastAsia="tr-TR"/>
                    </w:rPr>
                    <w:t>YAPILMASINA DAİR YÖNETMELİK</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1 –</w:t>
                  </w:r>
                  <w:r w:rsidRPr="00FD398B">
                    <w:rPr>
                      <w:rFonts w:ascii="Times New Roman" w:eastAsia="Times New Roman" w:hAnsi="Times New Roman" w:cs="Times New Roman"/>
                      <w:sz w:val="18"/>
                      <w:szCs w:val="18"/>
                      <w:lang w:eastAsia="tr-TR"/>
                    </w:rPr>
                    <w:t> 3/7/2017 tarihli ve 30113 sayılı Resmî Gazete’de yayımlanan Planlı Alanlar İmar Yönetmeliğinin 4 üncü maddesinin birinci fıkrasının (e) bendi aşağıdaki şekilde değiştirilmiştir.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“e) Atrium: İki veya daha çok sayıda katın içine açıldığı, yapı kitlesi içinde ortak hacim olarak tertiplenen, karşılıklı iki uzun kenar arasındaki mesafe 3.00 metreden az olmamak üzere bodrum, zemin veya bina girişinin yer aldığı kattan başlayıp tüm katlar boyunca devam eden üzeri kapalı boşluklu hacimleri,”</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2 –</w:t>
                  </w:r>
                  <w:r w:rsidRPr="00FD398B">
                    <w:rPr>
                      <w:rFonts w:ascii="Times New Roman" w:eastAsia="Times New Roman" w:hAnsi="Times New Roman" w:cs="Times New Roman"/>
                      <w:sz w:val="18"/>
                      <w:szCs w:val="18"/>
                      <w:lang w:eastAsia="tr-TR"/>
                    </w:rPr>
                    <w:t> Aynı Yönetmeliğin 5 inci maddesinin sekizinci fıkrası aşağıdaki şekilde değiştirilmiştir.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“(8) 22 nci maddeyle veya ilgili idarelerin imar yönetmelikleri ile getirilebilecek emsal harici tüm alanların toplamı; parselin toplam emsale esas alanının % 30’unu aşamaz. Ancak; 27/11/2007 tarihli ve 2007/12937 sayılı Bakanlar Kurulu Kararı ile yürürlüğe konulan Binaların Yangından Korunması Hakkında Yönetmelik gereğince yapılması zorunlu olan, korunumlu ya da korunumsuz normal merdiven dışındaki yangın merdiveni ve korunumlukoridorun asgari ölçülerdeki alanı ile yangın güvenlik holünün 6 m² si, son katın üzerindeki ortak alan teras çatılar, yapının ihtiyacı için bahçede yapılan açık otoparklar, konferans, spor, sinema ve tiyatro salonları gibi özellik arz eden umumi yapılarda düzenlenmesi zorunlu olan boşluklar, alışveriş merkezlerinde yapılan atrium boşluklarının her katta asgari ölçülerdeki alanı ile binaların bodrum katlarında yapılan;</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a) Zorunlu otopark alanlarının 2 katı,</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b) Sığınak, asansör boşlukları, merdivenler, bacalar, şaftlar, ışıklıklar, ısı ve tesisat alanları, yakıt ve su depoları, jeneratör ve enerji odası, kömürlükler ve kapıcı dairelerinin ilgili mevzuat, standart ya da bu Yönetmeliğe göre hesap edilen asgari alanları,</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c) Konut kullanımlı bağımsız bölüm brüt alanının % 10’unu, ticari kullanımlı bağımsız bölüm brüt alanının % 50’sini aşmayan depo amaçlı eklentiler,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ç) Ortak alan niteliğindeki mescit ve müştemilatın konutlarda 150 m²’si, konut dışı yapılarda 300 m²’si,</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d) Bütün cepheleri tamamen gömülü olmak ve ortak alan niteliğinde olmak kaydıyla; otopark alanları ve 22 nci maddede belirtilen tamamen gömülü ortak alanlar,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e) Ticari amaç içermeyen, ortak alan niteliğindeki çocuk oyun alanlarının ve çocuk bakım ünitelerinin toplam 100 m²’si,</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bu hesaba dâhil edilmeksizin emsal haricidir.”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3 –</w:t>
                  </w:r>
                  <w:r w:rsidRPr="00FD398B">
                    <w:rPr>
                      <w:rFonts w:ascii="Times New Roman" w:eastAsia="Times New Roman" w:hAnsi="Times New Roman" w:cs="Times New Roman"/>
                      <w:sz w:val="18"/>
                      <w:szCs w:val="18"/>
                      <w:lang w:eastAsia="tr-TR"/>
                    </w:rPr>
                    <w:t> Aynı Yönetmeliğin 20 nci maddesinin sekizinci fıkrasının (b) ve (d) bentleri aşağıdaki şekilde değiştirilmiş, aynı fıkranın (i) bendi yürürlükten kaldırılmıştır.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“b) Bağımsız bölüm olarak düzenlenmeyen veya bağımsız bölümün eklentisi niteliği taşımayan, yapının ana taşıyıcı sistemleri ile bütünleşik olmayan, bahçe alanının %20’sini geçmeyen; kameriye, pergola, sundurma, açık yüzme ve süs havuzu,”</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“d) Binaların Yangından Korunması Hakkında Yönetmeliğin gerekli gördüğü, normal merdiven haricinde kaçış yolu içerisinde yer alan, asgari ölçülerde ve adetlerde yapılan merdiven evi ile yangın güvenlik holleri,”</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4 –</w:t>
                  </w:r>
                  <w:r w:rsidRPr="00FD398B">
                    <w:rPr>
                      <w:rFonts w:ascii="Times New Roman" w:eastAsia="Times New Roman" w:hAnsi="Times New Roman" w:cs="Times New Roman"/>
                      <w:sz w:val="18"/>
                      <w:szCs w:val="18"/>
                      <w:lang w:eastAsia="tr-TR"/>
                    </w:rPr>
                    <w:t> Aynı Yönetmeliğin 22 nci maddesinin birinci fıkrasının (b), (ç), (e), (ğ), (h), (i), (j), (k) ve (l) bentleri aşağıdaki şekilde değiştirilmiş, (f) bendi yürürlükten kaldırılmıştır.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“b) Son katın üzerindeki ortak alan çatı bahçeleri,”</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“ç) Bu Yönetmelikte öngörülen asgari sayıda kapıcı dairesi,”</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“e) Ortak alan niteliğindeki mescit ve müştemilat,”</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“ğ) Ticari amaç içermeyen, ortak alan niteliğindeki çocuk oyun alanları ve çocuk bakım üniteleri,”</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“h) Otopark alanları,”</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“i) Bina veya tesise ait olan ısıtma, soğutma, tesisat alanı, su sarnıcı, havalandırma sistemleri ve enerji verimliliği sistemlerinin bulunduğu alanlar, arıtma tesisi, gri su toplama havuzu, yakıt ve su depoları, silolar, trafolar, jeneratör, ısı merkezi, enerji odası, kömürlük, eşanjör ve hidrofor bölümleri,”</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“j) Bütün cepheleri tamamen toprağın altında kalan bodrum katları ile kısmen açıkta kalan, bodrum katlarında yer alan; tek başına bağımsız bölüm oluşturmayan, bir bağımsız bölümün eklentisi veya parçası olmayan, ticari amaç içermeyen, yapı yaklaşma sınırı içinde kalan ve 1000 m²’yi ve toplamda katlar alanının % 5’ini aşmayacak şekilde düzenlenen ortak alan niteliğindeki; jimnastik salonu, oyun ve hobi odaları, yüzme havuzu, sauna gibi sosyal tesis, spor birimleri ve depolar,”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lastRenderedPageBreak/>
                    <w:t>“k) Bütün cepheleri tamamen toprağın altında kalan bodrum katları ile kısmen açıkta kalan, yola cephesi bulunmayan bodrum katlarında yer alan, bina cephelerinde ilave kat görünümüne neden olmayan ve tek başına bağımsız bölüm oluşturmayan; konut ve ticari kullanımlı bağımsız bölümlere ait depo amaçlı eklentiler,”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“l) Sökülür-takılır-katlanır cam panellerle kapatılmış olanlar dâhil olmak üzere balkonlar ve açık çıkmalar, kat bahçe ve terasları, iç bahçeler, kat ve ara sahanlıkları dâhil açık veya kapalı merdiven evi, tek bağımsız bölümlü konutlar hariç; bina giriş holleri ile kat holleri ve asansör önü sahanlıkları,”</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5 –</w:t>
                  </w:r>
                  <w:r w:rsidRPr="00FD398B">
                    <w:rPr>
                      <w:rFonts w:ascii="Times New Roman" w:eastAsia="Times New Roman" w:hAnsi="Times New Roman" w:cs="Times New Roman"/>
                      <w:sz w:val="18"/>
                      <w:szCs w:val="18"/>
                      <w:lang w:eastAsia="tr-TR"/>
                    </w:rPr>
                    <w:t> Aynı Yönetmeliğin 23 üncü maddesinin birinci fıkrasının (ç), (f), (g) ve (ğ) bentleri aşağıdaki şekilde değiştirilmiştir.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“ç) Yan ve arka bahçe mesafeleri; tabii veya tesviye edilmiş zeminin üzerinde kalan bodrum katları da dâhil, dörtten fazla katlı binalarda 4 katın üzerindeki her kat için 0.50 metre artırılır. Bu hüküm parsellerin park alanına komşu cephelerinde uygulanmaz.”</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“f) Bu Yönetmelikte yer alan kat adedine bağlı olarak yan ve arka bahçe mesafelerinin 0.50 metre arttırılmasına ilişkin hükümler yapıda bulunan her katta ayrı ayrı değerlendirme yapılarak da uygulanabilir.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g) Uygulama imar planında aksine bir açıklama getirilmediği takdirde, binanın tabii zemin veya tesviye edilmiş zemindeki en düşük kottaki görünen yüksekliği 60.50 metre veya daha fazla ise; ön, yan ve arka parsel sınırından en az 15.00 metre çekilmek durumundadır. 60.50 metre yükseklikten sonra artan her kat için ön, yan ve arka bahçe mesafelerine 0.50 metre ilave edilir.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ğ) Çok yüksek yapı, az katlı bir ana kitle üzerinde yükseliyorsa, parsel sınırı ile ana kitlenin parsele en yakın noktası arasındaki mesafe 10.00 metreye kadar düşürülebilir. Ana kitle yüksekliği dâhil yapı yüksekliğinin 60.50 metre olması durumunda yükselen blok ile parsel sınırı arasındaki mesafe en az 15.00 metre olup 60.50 metre yükseklikten sonra artan her kat için bu mesafeye 0.50 metre ilave edilir. Bu maddede ifade edilen ana kitle; en fazla 5 katlı olup kat adedi binanın en düşük kottaki cephesi esas alınarak belirlenir. Bir parselde birden fazla 60.50 metre yükseklikte bina yapılması halinde binalar arasındaki mesafe, 20.00 metre olup, 60.50 metre yükseklikten sonra ilave her 3.00 metre yükseklik için bu mesafeye 0.50 metre ilave edilir. Bu fıkraya göre fazladan bırakılması gereken çekme mesafeleri bir veya birkaç kat birlikte etüt edilerek binada kademelenme yapılmak suretiyle de gerçekleştirilebilir.”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6 –</w:t>
                  </w:r>
                  <w:r w:rsidRPr="00FD398B">
                    <w:rPr>
                      <w:rFonts w:ascii="Times New Roman" w:eastAsia="Times New Roman" w:hAnsi="Times New Roman" w:cs="Times New Roman"/>
                      <w:sz w:val="18"/>
                      <w:szCs w:val="18"/>
                      <w:lang w:eastAsia="tr-TR"/>
                    </w:rPr>
                    <w:t> Aynı Yönetmeliğin 29 uncu maddesinin sekizinci fıkrası yürürlükten kaldırılmıştır.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7 –</w:t>
                  </w:r>
                  <w:r w:rsidRPr="00FD398B">
                    <w:rPr>
                      <w:rFonts w:ascii="Times New Roman" w:eastAsia="Times New Roman" w:hAnsi="Times New Roman" w:cs="Times New Roman"/>
                      <w:sz w:val="18"/>
                      <w:szCs w:val="18"/>
                      <w:lang w:eastAsia="tr-TR"/>
                    </w:rPr>
                    <w:t> Aynı Yönetmeliğin 39 uncu maddesinin birinci fıkrasının (b) bendi aşağıdaki şekilde değiştirilmiştir.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“b) Kapı net (temiz) genişlikleri bina giriş kapılarında 1.50 metreden, kapıların çift kanatlı olması halinde bir kanat 1.00 metreden,”</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8 –</w:t>
                  </w:r>
                  <w:r w:rsidRPr="00FD398B">
                    <w:rPr>
                      <w:rFonts w:ascii="Times New Roman" w:eastAsia="Times New Roman" w:hAnsi="Times New Roman" w:cs="Times New Roman"/>
                      <w:sz w:val="18"/>
                      <w:szCs w:val="18"/>
                      <w:lang w:eastAsia="tr-TR"/>
                    </w:rPr>
                    <w:t> Aynı Yönetmeliğin 41 inci maddesinin birinci fıkrasının (b) bendinin (5) numaralı alt bendi yürürlükten kaldırılmıştır.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9 – </w:t>
                  </w:r>
                  <w:r w:rsidRPr="00FD398B">
                    <w:rPr>
                      <w:rFonts w:ascii="Times New Roman" w:eastAsia="Times New Roman" w:hAnsi="Times New Roman" w:cs="Times New Roman"/>
                      <w:sz w:val="18"/>
                      <w:szCs w:val="18"/>
                      <w:lang w:eastAsia="tr-TR"/>
                    </w:rPr>
                    <w:t>Aynı Yönetmeliğin 54 üncü maddesinin onuncu fıkrası yürürlükten kaldırılmıştır.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10 –</w:t>
                  </w:r>
                  <w:r w:rsidRPr="00FD398B">
                    <w:rPr>
                      <w:rFonts w:ascii="Times New Roman" w:eastAsia="Times New Roman" w:hAnsi="Times New Roman" w:cs="Times New Roman"/>
                      <w:sz w:val="18"/>
                      <w:szCs w:val="18"/>
                      <w:lang w:eastAsia="tr-TR"/>
                    </w:rPr>
                    <w:t> Aynı Yönetmeliğin 55 inci maddesinin dokuzuncu fıkrası aşağıdaki şekilde değiştirilmiştir.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“(9) Aynı parselde birbirinden bağımsız blokların birinde; parseldeki bağımsız bölümlerin arsa paylarını, ortak alanları, parselde yer alan blokların konumlarını, bloğun emsalini, inşaat alanını, yüksekliğini ve kullanım amacını değiştirmemek kaydıyla yapılan tadilatlarda sadece tadilat yapılan blok maliklerinin muvafakatleri alınarak uygulama yapılır. Bir binada yer alan bağımsız bölümlerin birinde; emsal ve inşaat alanını, kullanım amacını, ıslak hacimlerin yerini, ortak alanları, diğer bağımsız bölümlerin arsa paylarını, diğer bağımsız bölümlerle olan duvar ve döşeme gibi ortak yapı elemanlarını değiştirmemek, binanın taşıyıcı sistem özellikleri ve güvenliği ile yangın güvenliğini olumsuz etkilememek kaydıyla yapılan tadilatlarda, tadilat yapılan bağımsız bölüm malikinin başvurusu yeterli olup, diğer maliklerin muvafakati aranmadan uygulama yapılır. Ancak bu tadilattan etkilendiği ilgili idaresince belirlenen bağımsız bölümler olması halinde, bu bağımsız bölümlerin maliklerinin de muvafakatleri alınır.”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11 –</w:t>
                  </w:r>
                  <w:r w:rsidRPr="00FD398B">
                    <w:rPr>
                      <w:rFonts w:ascii="Times New Roman" w:eastAsia="Times New Roman" w:hAnsi="Times New Roman" w:cs="Times New Roman"/>
                      <w:sz w:val="18"/>
                      <w:szCs w:val="18"/>
                      <w:lang w:eastAsia="tr-TR"/>
                    </w:rPr>
                    <w:t> Aynı Yönetmeliğin 57 nci maddesinin altıncı fıkrasının (a) bendinin (1) numaralı alt bendi, aynı bendin (3) numaralı alt bendi ve aynı maddenin yirmialtıncı fıkrasının birinci cümlesi aşağıdaki şekilde değiştirilmiştir.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“1) Yer altının dinamik esneklik direnişleri ve y</w:t>
                  </w:r>
                  <w:bookmarkStart w:id="0" w:name="_GoBack"/>
                  <w:bookmarkEnd w:id="0"/>
                  <w:r w:rsidRPr="00FD398B">
                    <w:rPr>
                      <w:rFonts w:ascii="Times New Roman" w:eastAsia="Times New Roman" w:hAnsi="Times New Roman" w:cs="Times New Roman"/>
                      <w:sz w:val="18"/>
                      <w:szCs w:val="18"/>
                      <w:lang w:eastAsia="tr-TR"/>
                    </w:rPr>
                    <w:t>erin dayanımı, taşıma gücü, yer altı suyu varlığı, yer altı yapısı, deprem bölgelenmesi, yer kırıklıklarının hareketleri, oturma, sıvılaşma ve yer kaymalarının boyutları gibi zeminin fizikî özelliklerini belirleyen çalışmalar yönünden jeofizik mühendislerince,”</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“3) Zemin mekaniği, zemin dinamiği ve zemin emniyet gerilmesi hesaplaması gibi çalışmalar yönünden inşaat ve jeoloji mühendislerince,”</w:t>
                  </w:r>
                </w:p>
                <w:p w:rsidR="00FD398B" w:rsidRPr="00FD398B" w:rsidRDefault="00FD398B" w:rsidP="00FD398B">
                  <w:pPr>
                    <w:spacing w:after="0" w:line="240" w:lineRule="atLeast"/>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“Aşağıda belirtilen niteliklerden en az birini taşıyan yapı veya yapılar için büyükşehir belediyesince silüet onayı zorunluluğu getirilebilir:”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12 – </w:t>
                  </w:r>
                  <w:r w:rsidRPr="00FD398B">
                    <w:rPr>
                      <w:rFonts w:ascii="Times New Roman" w:eastAsia="Times New Roman" w:hAnsi="Times New Roman" w:cs="Times New Roman"/>
                      <w:sz w:val="18"/>
                      <w:szCs w:val="18"/>
                      <w:lang w:eastAsia="tr-TR"/>
                    </w:rPr>
                    <w:t>Aynı Yönetmeliğin 62 nci maddesinin ikinci fıkrası aşağıdaki şekilde değiştirilmiştir.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 xml:space="preserve">“(2) Özel mülkiyete tabi arsa ve binalarda, fenni mesuliyet üstlenilmek ve Kanunun cezai hükümleri saklı kalmak, kat maliklerinin üçte ikisi ve gerekmesi halinde uygulamadan etkilendiği ilgili idaresince belirlenen bağımsız bölüm maliklerinin muvafakati alınmak, statik açıdan sakınca bulunmadığına dair inşaat mühendislerince hazırlanacak rapor ilgili idaresine sunulmak, bina estetiğini, görünümünü ve silueti olumsuz etkilememek kaydıyla Bilgi Teknolojileri ve İletişim Kurumunun uygun görüşü alınarak; ruhsat alınmadan elektronik haberleşme istasyonu kurulabilir. Bina </w:t>
                  </w:r>
                  <w:r w:rsidRPr="00FD398B">
                    <w:rPr>
                      <w:rFonts w:ascii="Times New Roman" w:eastAsia="Times New Roman" w:hAnsi="Times New Roman" w:cs="Times New Roman"/>
                      <w:sz w:val="18"/>
                      <w:szCs w:val="18"/>
                      <w:lang w:eastAsia="tr-TR"/>
                    </w:rPr>
                    <w:lastRenderedPageBreak/>
                    <w:t>cephelerinde bu fıkrada aranan şartlara ilave olarak, sadece anten ve anten aparatları monte edilmek, cepheye bitişik olmak, dış cephe kaplamasıyla benzer görünümde olmak ve anten boyları 1,55 metreyi geçmemek şartları da aranır. Fenni mesuliyet üstlenilmek ve Kanunun cezai hükümleri saklı kalmak kaydıyla, sabit elektronik haberleşme altyapısında kullanılan; saha dolabı, varlık noktası (PoP noktası), menhol, ankesörlü telefon ve bina içi anahtarlama ekipmanları, yapı ruhsatı ve yapı kullanma izni alınmadan kurulabilir.”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13 –</w:t>
                  </w:r>
                  <w:r w:rsidRPr="00FD398B">
                    <w:rPr>
                      <w:rFonts w:ascii="Times New Roman" w:eastAsia="Times New Roman" w:hAnsi="Times New Roman" w:cs="Times New Roman"/>
                      <w:sz w:val="18"/>
                      <w:szCs w:val="18"/>
                      <w:lang w:eastAsia="tr-TR"/>
                    </w:rPr>
                    <w:t> Aynı Yönetmeliğin 64 üncü maddesinin ikinci fıkrasına “kablo tv ve” ibaresinden sonra gelmek üzere “fiberoptik” ibaresi eklenmiştir.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14 –</w:t>
                  </w:r>
                  <w:r w:rsidRPr="00FD398B">
                    <w:rPr>
                      <w:rFonts w:ascii="Times New Roman" w:eastAsia="Times New Roman" w:hAnsi="Times New Roman" w:cs="Times New Roman"/>
                      <w:sz w:val="18"/>
                      <w:szCs w:val="18"/>
                      <w:lang w:eastAsia="tr-TR"/>
                    </w:rPr>
                    <w:t> Aynı Yönetmeliğin geçici 3 üncü maddesine aşağıdaki fıkralar eklenmiştir.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“(3) Bu Yönetmeliğin yürürlüğe girmesinden önce riskli yapı tespiti yapılmış ya da riskli alan kapsamına alınmış olup, maliklerin en az üçte ikisi ile noter onaylı kat karşılığı inşaat sözleşmesi düzenlenmiş olup yapı ruhsatı düzenlenmemiş yapıların ruhsat işlemleri, talep edilmesi halinde 1/10/2017 tarihinden önce yürürlükte olan Yönetmeliğe göre sonuçlandırılır.”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“(4) Bu Yönetmeliğin yürürlüğe girmesinden önce ruhsat alınmış olup, inşaatı devam eden yapılara ilişkin ruhsat süresi içerisinde yapılan tadilat ruhsatı başvuruları; talep edilmesi halinde ruhsatın düzenlendiği Yönetmeliğe göre sonuçlandırılır.”</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15 –</w:t>
                  </w:r>
                  <w:r w:rsidRPr="00FD398B">
                    <w:rPr>
                      <w:rFonts w:ascii="Times New Roman" w:eastAsia="Times New Roman" w:hAnsi="Times New Roman" w:cs="Times New Roman"/>
                      <w:sz w:val="18"/>
                      <w:szCs w:val="18"/>
                      <w:lang w:eastAsia="tr-TR"/>
                    </w:rPr>
                    <w:t> Bu Yönetmeliğin;</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a) 14 üncü maddesi 3/7/2017 tarihinden geçerli olmak üzere,</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b) Diğer maddeleri 1/10/2017 tarihinde,</w:t>
                  </w:r>
                </w:p>
                <w:p w:rsidR="00FD398B" w:rsidRPr="00FD398B" w:rsidRDefault="00FD398B" w:rsidP="00FD398B">
                  <w:pPr>
                    <w:spacing w:after="0"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sz w:val="18"/>
                      <w:szCs w:val="18"/>
                      <w:lang w:eastAsia="tr-TR"/>
                    </w:rPr>
                    <w:t>yürürlüğe girer.</w:t>
                  </w:r>
                </w:p>
                <w:p w:rsidR="00FD398B" w:rsidRPr="00FD398B" w:rsidRDefault="00FD398B" w:rsidP="00FD398B">
                  <w:pPr>
                    <w:spacing w:after="113" w:line="240" w:lineRule="atLeast"/>
                    <w:ind w:firstLine="566"/>
                    <w:jc w:val="both"/>
                    <w:rPr>
                      <w:rFonts w:ascii="Times New Roman" w:eastAsia="Times New Roman" w:hAnsi="Times New Roman" w:cs="Times New Roman"/>
                      <w:sz w:val="19"/>
                      <w:szCs w:val="19"/>
                      <w:lang w:eastAsia="tr-TR"/>
                    </w:rPr>
                  </w:pPr>
                  <w:r w:rsidRPr="00FD398B">
                    <w:rPr>
                      <w:rFonts w:ascii="Times New Roman" w:eastAsia="Times New Roman" w:hAnsi="Times New Roman" w:cs="Times New Roman"/>
                      <w:b/>
                      <w:bCs/>
                      <w:sz w:val="18"/>
                      <w:szCs w:val="18"/>
                      <w:lang w:eastAsia="tr-TR"/>
                    </w:rPr>
                    <w:t>MADDE 16 –</w:t>
                  </w:r>
                  <w:r w:rsidRPr="00FD398B">
                    <w:rPr>
                      <w:rFonts w:ascii="Times New Roman" w:eastAsia="Times New Roman" w:hAnsi="Times New Roman" w:cs="Times New Roman"/>
                      <w:sz w:val="18"/>
                      <w:szCs w:val="18"/>
                      <w:lang w:eastAsia="tr-TR"/>
                    </w:rPr>
                    <w:t> Bu Yönetmelik hükümlerini Çevre ve Şehircilik Bakanı yürütür.</w:t>
                  </w:r>
                </w:p>
                <w:tbl>
                  <w:tblPr>
                    <w:tblW w:w="8505" w:type="dxa"/>
                    <w:jc w:val="center"/>
                    <w:tblCellMar>
                      <w:left w:w="0" w:type="dxa"/>
                      <w:right w:w="0" w:type="dxa"/>
                    </w:tblCellMar>
                    <w:tblLook w:val="04A0" w:firstRow="1" w:lastRow="0" w:firstColumn="1" w:lastColumn="0" w:noHBand="0" w:noVBand="1"/>
                  </w:tblPr>
                  <w:tblGrid>
                    <w:gridCol w:w="4254"/>
                    <w:gridCol w:w="4251"/>
                  </w:tblGrid>
                  <w:tr w:rsidR="00FD398B" w:rsidRPr="00FD398B">
                    <w:trPr>
                      <w:jc w:val="center"/>
                    </w:trPr>
                    <w:tc>
                      <w:tcPr>
                        <w:tcW w:w="8505"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FD398B" w:rsidRPr="00FD398B" w:rsidRDefault="00FD398B" w:rsidP="00FD398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398B">
                          <w:rPr>
                            <w:rFonts w:ascii="Times New Roman" w:eastAsia="Times New Roman" w:hAnsi="Times New Roman" w:cs="Times New Roman"/>
                            <w:b/>
                            <w:bCs/>
                            <w:sz w:val="18"/>
                            <w:szCs w:val="18"/>
                            <w:lang w:eastAsia="tr-TR"/>
                          </w:rPr>
                          <w:t>Yönetmeliğin Yayımlandığı Resmî Gazete’nin</w:t>
                        </w:r>
                      </w:p>
                    </w:tc>
                  </w:tr>
                  <w:tr w:rsidR="00FD398B" w:rsidRPr="00FD398B">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FD398B" w:rsidRPr="00FD398B" w:rsidRDefault="00FD398B" w:rsidP="00FD398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398B">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FD398B" w:rsidRPr="00FD398B" w:rsidRDefault="00FD398B" w:rsidP="00FD398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398B">
                          <w:rPr>
                            <w:rFonts w:ascii="Times New Roman" w:eastAsia="Times New Roman" w:hAnsi="Times New Roman" w:cs="Times New Roman"/>
                            <w:b/>
                            <w:bCs/>
                            <w:sz w:val="18"/>
                            <w:szCs w:val="18"/>
                            <w:lang w:eastAsia="tr-TR"/>
                          </w:rPr>
                          <w:t>Sayısı</w:t>
                        </w:r>
                      </w:p>
                    </w:tc>
                  </w:tr>
                  <w:tr w:rsidR="00FD398B" w:rsidRPr="00FD398B">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398B" w:rsidRPr="00FD398B" w:rsidRDefault="00FD398B" w:rsidP="00FD398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398B">
                          <w:rPr>
                            <w:rFonts w:ascii="Times New Roman" w:eastAsia="Times New Roman" w:hAnsi="Times New Roman" w:cs="Times New Roman"/>
                            <w:sz w:val="18"/>
                            <w:szCs w:val="18"/>
                            <w:lang w:eastAsia="tr-TR"/>
                          </w:rPr>
                          <w:t>3/7/2017</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FD398B" w:rsidRPr="00FD398B" w:rsidRDefault="00FD398B" w:rsidP="00FD398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398B">
                          <w:rPr>
                            <w:rFonts w:ascii="Times New Roman" w:eastAsia="Times New Roman" w:hAnsi="Times New Roman" w:cs="Times New Roman"/>
                            <w:sz w:val="18"/>
                            <w:szCs w:val="18"/>
                            <w:lang w:eastAsia="tr-TR"/>
                          </w:rPr>
                          <w:t>30113</w:t>
                        </w:r>
                      </w:p>
                    </w:tc>
                  </w:tr>
                </w:tbl>
                <w:p w:rsidR="00FD398B" w:rsidRPr="00FD398B" w:rsidRDefault="00FD398B" w:rsidP="00FD398B">
                  <w:pPr>
                    <w:spacing w:after="0" w:line="240" w:lineRule="auto"/>
                    <w:rPr>
                      <w:rFonts w:ascii="Times New Roman" w:eastAsia="Times New Roman" w:hAnsi="Times New Roman" w:cs="Times New Roman"/>
                      <w:sz w:val="24"/>
                      <w:szCs w:val="24"/>
                      <w:lang w:eastAsia="tr-TR"/>
                    </w:rPr>
                  </w:pPr>
                </w:p>
              </w:tc>
            </w:tr>
          </w:tbl>
          <w:p w:rsidR="00FD398B" w:rsidRPr="00FD398B" w:rsidRDefault="00FD398B" w:rsidP="00FD398B">
            <w:pPr>
              <w:spacing w:after="0" w:line="240" w:lineRule="auto"/>
              <w:rPr>
                <w:rFonts w:ascii="Times New Roman" w:eastAsia="Times New Roman" w:hAnsi="Times New Roman" w:cs="Times New Roman"/>
                <w:sz w:val="24"/>
                <w:szCs w:val="24"/>
                <w:lang w:eastAsia="tr-TR"/>
              </w:rPr>
            </w:pPr>
          </w:p>
        </w:tc>
      </w:tr>
    </w:tbl>
    <w:p w:rsidR="00FD398B" w:rsidRPr="00FD398B" w:rsidRDefault="00FD398B" w:rsidP="00FD398B">
      <w:pPr>
        <w:spacing w:after="0" w:line="240" w:lineRule="auto"/>
        <w:jc w:val="center"/>
        <w:rPr>
          <w:rFonts w:ascii="Times New Roman" w:eastAsia="Times New Roman" w:hAnsi="Times New Roman" w:cs="Times New Roman"/>
          <w:color w:val="000000"/>
          <w:sz w:val="27"/>
          <w:szCs w:val="27"/>
          <w:lang w:eastAsia="tr-TR"/>
        </w:rPr>
      </w:pPr>
      <w:r w:rsidRPr="00FD398B">
        <w:rPr>
          <w:rFonts w:ascii="Times New Roman" w:eastAsia="Times New Roman" w:hAnsi="Times New Roman" w:cs="Times New Roman"/>
          <w:color w:val="000000"/>
          <w:sz w:val="27"/>
          <w:szCs w:val="27"/>
          <w:lang w:eastAsia="tr-TR"/>
        </w:rPr>
        <w:lastRenderedPageBreak/>
        <w:t> </w:t>
      </w:r>
    </w:p>
    <w:p w:rsidR="007C25B0" w:rsidRPr="00FD398B" w:rsidRDefault="007C25B0" w:rsidP="00FD398B"/>
    <w:sectPr w:rsidR="007C25B0" w:rsidRPr="00FD398B" w:rsidSect="00FE67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9B8" w:rsidRDefault="007D09B8" w:rsidP="00900475">
      <w:pPr>
        <w:spacing w:after="0" w:line="240" w:lineRule="auto"/>
      </w:pPr>
      <w:r>
        <w:separator/>
      </w:r>
    </w:p>
  </w:endnote>
  <w:endnote w:type="continuationSeparator" w:id="0">
    <w:p w:rsidR="007D09B8" w:rsidRDefault="007D09B8" w:rsidP="0090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9B8" w:rsidRDefault="007D09B8" w:rsidP="00900475">
      <w:pPr>
        <w:spacing w:after="0" w:line="240" w:lineRule="auto"/>
      </w:pPr>
      <w:r>
        <w:separator/>
      </w:r>
    </w:p>
  </w:footnote>
  <w:footnote w:type="continuationSeparator" w:id="0">
    <w:p w:rsidR="007D09B8" w:rsidRDefault="007D09B8" w:rsidP="00900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5898"/>
    <w:multiLevelType w:val="hybridMultilevel"/>
    <w:tmpl w:val="71F674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925E0B"/>
    <w:multiLevelType w:val="hybridMultilevel"/>
    <w:tmpl w:val="4386C898"/>
    <w:lvl w:ilvl="0" w:tplc="E5F20D7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5C6A69"/>
    <w:multiLevelType w:val="hybridMultilevel"/>
    <w:tmpl w:val="1B54CB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2047714"/>
    <w:multiLevelType w:val="multilevel"/>
    <w:tmpl w:val="28CA2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452BFE"/>
    <w:multiLevelType w:val="hybridMultilevel"/>
    <w:tmpl w:val="B15CA180"/>
    <w:lvl w:ilvl="0" w:tplc="E5F20D7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06"/>
    <w:rsid w:val="00003430"/>
    <w:rsid w:val="000154B9"/>
    <w:rsid w:val="00015F2A"/>
    <w:rsid w:val="00016CD1"/>
    <w:rsid w:val="00025B7A"/>
    <w:rsid w:val="00041A8D"/>
    <w:rsid w:val="00047D21"/>
    <w:rsid w:val="00050313"/>
    <w:rsid w:val="00050E11"/>
    <w:rsid w:val="00057E82"/>
    <w:rsid w:val="00060D64"/>
    <w:rsid w:val="00075296"/>
    <w:rsid w:val="000975B9"/>
    <w:rsid w:val="000A1C20"/>
    <w:rsid w:val="000B3C8F"/>
    <w:rsid w:val="000D3284"/>
    <w:rsid w:val="000F3979"/>
    <w:rsid w:val="000F5BC8"/>
    <w:rsid w:val="00130480"/>
    <w:rsid w:val="00136F5D"/>
    <w:rsid w:val="00141B71"/>
    <w:rsid w:val="00177FAB"/>
    <w:rsid w:val="00180C18"/>
    <w:rsid w:val="0018797D"/>
    <w:rsid w:val="00187D66"/>
    <w:rsid w:val="001947E9"/>
    <w:rsid w:val="001A45FC"/>
    <w:rsid w:val="001C655E"/>
    <w:rsid w:val="001C6B93"/>
    <w:rsid w:val="001D12E5"/>
    <w:rsid w:val="001D49BE"/>
    <w:rsid w:val="001D5FF6"/>
    <w:rsid w:val="001D68ED"/>
    <w:rsid w:val="001E4DFF"/>
    <w:rsid w:val="001F23C8"/>
    <w:rsid w:val="001F279A"/>
    <w:rsid w:val="001F31F3"/>
    <w:rsid w:val="00200B30"/>
    <w:rsid w:val="00200C91"/>
    <w:rsid w:val="002018A6"/>
    <w:rsid w:val="00205997"/>
    <w:rsid w:val="00206C7D"/>
    <w:rsid w:val="00211947"/>
    <w:rsid w:val="00214137"/>
    <w:rsid w:val="002166FA"/>
    <w:rsid w:val="00246106"/>
    <w:rsid w:val="00250EC3"/>
    <w:rsid w:val="0025288E"/>
    <w:rsid w:val="00255632"/>
    <w:rsid w:val="00265107"/>
    <w:rsid w:val="002658EB"/>
    <w:rsid w:val="002736B9"/>
    <w:rsid w:val="002824D9"/>
    <w:rsid w:val="00286234"/>
    <w:rsid w:val="002D3B0C"/>
    <w:rsid w:val="002D7F76"/>
    <w:rsid w:val="002E3460"/>
    <w:rsid w:val="002E43A6"/>
    <w:rsid w:val="002E4692"/>
    <w:rsid w:val="002F7D17"/>
    <w:rsid w:val="0031063F"/>
    <w:rsid w:val="00311BF3"/>
    <w:rsid w:val="00314FD9"/>
    <w:rsid w:val="003317AB"/>
    <w:rsid w:val="003458AB"/>
    <w:rsid w:val="00351201"/>
    <w:rsid w:val="003672F7"/>
    <w:rsid w:val="00373277"/>
    <w:rsid w:val="00377E1F"/>
    <w:rsid w:val="00380FC1"/>
    <w:rsid w:val="00391E09"/>
    <w:rsid w:val="003A137B"/>
    <w:rsid w:val="003A23DE"/>
    <w:rsid w:val="003B3A18"/>
    <w:rsid w:val="003B6AC1"/>
    <w:rsid w:val="003B6AE4"/>
    <w:rsid w:val="003C54A6"/>
    <w:rsid w:val="003C7FDC"/>
    <w:rsid w:val="003D58FA"/>
    <w:rsid w:val="003E779C"/>
    <w:rsid w:val="003F0B77"/>
    <w:rsid w:val="003F73D9"/>
    <w:rsid w:val="0040039D"/>
    <w:rsid w:val="00400B5C"/>
    <w:rsid w:val="00402C4E"/>
    <w:rsid w:val="00426BBE"/>
    <w:rsid w:val="004300D9"/>
    <w:rsid w:val="00430EC5"/>
    <w:rsid w:val="004500E9"/>
    <w:rsid w:val="00467F0A"/>
    <w:rsid w:val="004703F7"/>
    <w:rsid w:val="00477E7C"/>
    <w:rsid w:val="00493314"/>
    <w:rsid w:val="004A489C"/>
    <w:rsid w:val="004A7FEA"/>
    <w:rsid w:val="004B05FB"/>
    <w:rsid w:val="004B1550"/>
    <w:rsid w:val="004B282F"/>
    <w:rsid w:val="004C031A"/>
    <w:rsid w:val="004C148C"/>
    <w:rsid w:val="004C1FBA"/>
    <w:rsid w:val="004D0E8B"/>
    <w:rsid w:val="004D5ADD"/>
    <w:rsid w:val="004E296F"/>
    <w:rsid w:val="004E3D20"/>
    <w:rsid w:val="004F33CC"/>
    <w:rsid w:val="005103F7"/>
    <w:rsid w:val="00512DF8"/>
    <w:rsid w:val="00513EF1"/>
    <w:rsid w:val="00525977"/>
    <w:rsid w:val="00533DB1"/>
    <w:rsid w:val="00536841"/>
    <w:rsid w:val="00554607"/>
    <w:rsid w:val="00554BEA"/>
    <w:rsid w:val="005621EE"/>
    <w:rsid w:val="005636D8"/>
    <w:rsid w:val="00587329"/>
    <w:rsid w:val="00590A7F"/>
    <w:rsid w:val="00592A84"/>
    <w:rsid w:val="00594300"/>
    <w:rsid w:val="005962D3"/>
    <w:rsid w:val="005A0A63"/>
    <w:rsid w:val="005A19F3"/>
    <w:rsid w:val="005A262E"/>
    <w:rsid w:val="005A5A78"/>
    <w:rsid w:val="005B00D8"/>
    <w:rsid w:val="005B1C95"/>
    <w:rsid w:val="005B4BE9"/>
    <w:rsid w:val="005D2872"/>
    <w:rsid w:val="005D63C9"/>
    <w:rsid w:val="005F13A1"/>
    <w:rsid w:val="005F25ED"/>
    <w:rsid w:val="00617AE9"/>
    <w:rsid w:val="006251D8"/>
    <w:rsid w:val="006406E5"/>
    <w:rsid w:val="00640FA7"/>
    <w:rsid w:val="0064285C"/>
    <w:rsid w:val="006448C0"/>
    <w:rsid w:val="006479A1"/>
    <w:rsid w:val="00655F16"/>
    <w:rsid w:val="006729F8"/>
    <w:rsid w:val="00681180"/>
    <w:rsid w:val="006820ED"/>
    <w:rsid w:val="00683EAF"/>
    <w:rsid w:val="00684114"/>
    <w:rsid w:val="006906A3"/>
    <w:rsid w:val="00691922"/>
    <w:rsid w:val="006A1E9C"/>
    <w:rsid w:val="006A73DB"/>
    <w:rsid w:val="006B0DF7"/>
    <w:rsid w:val="006B272F"/>
    <w:rsid w:val="006C1350"/>
    <w:rsid w:val="006D28A7"/>
    <w:rsid w:val="006D7429"/>
    <w:rsid w:val="006F4639"/>
    <w:rsid w:val="00706DC3"/>
    <w:rsid w:val="00713166"/>
    <w:rsid w:val="00714433"/>
    <w:rsid w:val="00717DD3"/>
    <w:rsid w:val="00723B71"/>
    <w:rsid w:val="0072740B"/>
    <w:rsid w:val="0074016B"/>
    <w:rsid w:val="00744536"/>
    <w:rsid w:val="00750F74"/>
    <w:rsid w:val="00767C6B"/>
    <w:rsid w:val="0077119F"/>
    <w:rsid w:val="007805D9"/>
    <w:rsid w:val="00781DDF"/>
    <w:rsid w:val="0078769B"/>
    <w:rsid w:val="00796611"/>
    <w:rsid w:val="007972CF"/>
    <w:rsid w:val="007A125C"/>
    <w:rsid w:val="007C0916"/>
    <w:rsid w:val="007C212E"/>
    <w:rsid w:val="007C25B0"/>
    <w:rsid w:val="007C31F4"/>
    <w:rsid w:val="007D09B8"/>
    <w:rsid w:val="007D3D57"/>
    <w:rsid w:val="007E52A6"/>
    <w:rsid w:val="007F31D1"/>
    <w:rsid w:val="007F5994"/>
    <w:rsid w:val="00807877"/>
    <w:rsid w:val="00811645"/>
    <w:rsid w:val="008145F8"/>
    <w:rsid w:val="00826A08"/>
    <w:rsid w:val="00826A72"/>
    <w:rsid w:val="0082758F"/>
    <w:rsid w:val="0083167F"/>
    <w:rsid w:val="00840A14"/>
    <w:rsid w:val="008413E7"/>
    <w:rsid w:val="00843FF1"/>
    <w:rsid w:val="008468D2"/>
    <w:rsid w:val="008470EC"/>
    <w:rsid w:val="008479D4"/>
    <w:rsid w:val="00851FAB"/>
    <w:rsid w:val="00867E0C"/>
    <w:rsid w:val="00870C52"/>
    <w:rsid w:val="00870E5A"/>
    <w:rsid w:val="00884974"/>
    <w:rsid w:val="008909BA"/>
    <w:rsid w:val="008C1727"/>
    <w:rsid w:val="008D5C42"/>
    <w:rsid w:val="008F1BB5"/>
    <w:rsid w:val="008F76C7"/>
    <w:rsid w:val="00900475"/>
    <w:rsid w:val="00906BDB"/>
    <w:rsid w:val="00917B29"/>
    <w:rsid w:val="00926A9A"/>
    <w:rsid w:val="0093317A"/>
    <w:rsid w:val="00941E51"/>
    <w:rsid w:val="00944910"/>
    <w:rsid w:val="009473F6"/>
    <w:rsid w:val="009500D3"/>
    <w:rsid w:val="009648B2"/>
    <w:rsid w:val="0097531B"/>
    <w:rsid w:val="00976945"/>
    <w:rsid w:val="009775ED"/>
    <w:rsid w:val="00980ED6"/>
    <w:rsid w:val="00995857"/>
    <w:rsid w:val="009A00D7"/>
    <w:rsid w:val="009A55D5"/>
    <w:rsid w:val="009A7006"/>
    <w:rsid w:val="009B7AEF"/>
    <w:rsid w:val="009C379C"/>
    <w:rsid w:val="009E2C94"/>
    <w:rsid w:val="009E3D88"/>
    <w:rsid w:val="009E5D2D"/>
    <w:rsid w:val="009E67EA"/>
    <w:rsid w:val="009F779D"/>
    <w:rsid w:val="00A037B2"/>
    <w:rsid w:val="00A12B51"/>
    <w:rsid w:val="00A33523"/>
    <w:rsid w:val="00A6473E"/>
    <w:rsid w:val="00A87CC7"/>
    <w:rsid w:val="00A90397"/>
    <w:rsid w:val="00A904D1"/>
    <w:rsid w:val="00AA2F7D"/>
    <w:rsid w:val="00AA6708"/>
    <w:rsid w:val="00AB19D0"/>
    <w:rsid w:val="00AD24A1"/>
    <w:rsid w:val="00B00B73"/>
    <w:rsid w:val="00B04695"/>
    <w:rsid w:val="00B32897"/>
    <w:rsid w:val="00B63C00"/>
    <w:rsid w:val="00B705DE"/>
    <w:rsid w:val="00B72FD0"/>
    <w:rsid w:val="00B811CC"/>
    <w:rsid w:val="00B87F31"/>
    <w:rsid w:val="00B965C1"/>
    <w:rsid w:val="00BA07F7"/>
    <w:rsid w:val="00BA3814"/>
    <w:rsid w:val="00BC3F78"/>
    <w:rsid w:val="00BC3FD5"/>
    <w:rsid w:val="00BD3788"/>
    <w:rsid w:val="00BD6882"/>
    <w:rsid w:val="00BF3AD8"/>
    <w:rsid w:val="00BF3EC0"/>
    <w:rsid w:val="00C013FF"/>
    <w:rsid w:val="00C06A28"/>
    <w:rsid w:val="00C31C4A"/>
    <w:rsid w:val="00C34AA4"/>
    <w:rsid w:val="00C34E2A"/>
    <w:rsid w:val="00C369F6"/>
    <w:rsid w:val="00C418A4"/>
    <w:rsid w:val="00C4512D"/>
    <w:rsid w:val="00C471C1"/>
    <w:rsid w:val="00C50FAC"/>
    <w:rsid w:val="00C6315F"/>
    <w:rsid w:val="00C7123C"/>
    <w:rsid w:val="00C715D4"/>
    <w:rsid w:val="00C81BCC"/>
    <w:rsid w:val="00C871B5"/>
    <w:rsid w:val="00C92061"/>
    <w:rsid w:val="00C95BD9"/>
    <w:rsid w:val="00CA5E5C"/>
    <w:rsid w:val="00CC7024"/>
    <w:rsid w:val="00CD0AAE"/>
    <w:rsid w:val="00CD2E20"/>
    <w:rsid w:val="00CD5F6C"/>
    <w:rsid w:val="00CD6FE4"/>
    <w:rsid w:val="00CE5FF0"/>
    <w:rsid w:val="00CF37E6"/>
    <w:rsid w:val="00CF69A4"/>
    <w:rsid w:val="00D0608F"/>
    <w:rsid w:val="00D10B6F"/>
    <w:rsid w:val="00D10E00"/>
    <w:rsid w:val="00D10EFE"/>
    <w:rsid w:val="00D17E17"/>
    <w:rsid w:val="00D24B1E"/>
    <w:rsid w:val="00D32545"/>
    <w:rsid w:val="00D33FAA"/>
    <w:rsid w:val="00D3676E"/>
    <w:rsid w:val="00D37EDC"/>
    <w:rsid w:val="00D408EA"/>
    <w:rsid w:val="00D5100C"/>
    <w:rsid w:val="00D5345F"/>
    <w:rsid w:val="00D63285"/>
    <w:rsid w:val="00D636D3"/>
    <w:rsid w:val="00D6519B"/>
    <w:rsid w:val="00D671A3"/>
    <w:rsid w:val="00D74FC9"/>
    <w:rsid w:val="00D77648"/>
    <w:rsid w:val="00DB036F"/>
    <w:rsid w:val="00DB12EA"/>
    <w:rsid w:val="00DB69AB"/>
    <w:rsid w:val="00DC0FD4"/>
    <w:rsid w:val="00DC6C0E"/>
    <w:rsid w:val="00DD257F"/>
    <w:rsid w:val="00DD2FA6"/>
    <w:rsid w:val="00DE577E"/>
    <w:rsid w:val="00DE753C"/>
    <w:rsid w:val="00DF24B9"/>
    <w:rsid w:val="00DF3433"/>
    <w:rsid w:val="00E02E1A"/>
    <w:rsid w:val="00E036CD"/>
    <w:rsid w:val="00E05CFA"/>
    <w:rsid w:val="00E15E6C"/>
    <w:rsid w:val="00E20164"/>
    <w:rsid w:val="00E23613"/>
    <w:rsid w:val="00E36E6B"/>
    <w:rsid w:val="00E50291"/>
    <w:rsid w:val="00E50EAE"/>
    <w:rsid w:val="00E54821"/>
    <w:rsid w:val="00E62480"/>
    <w:rsid w:val="00E629E6"/>
    <w:rsid w:val="00E635BA"/>
    <w:rsid w:val="00E64B83"/>
    <w:rsid w:val="00E678CA"/>
    <w:rsid w:val="00E76800"/>
    <w:rsid w:val="00EB1F81"/>
    <w:rsid w:val="00EB2A79"/>
    <w:rsid w:val="00EC6B44"/>
    <w:rsid w:val="00ED26E0"/>
    <w:rsid w:val="00ED6F84"/>
    <w:rsid w:val="00ED7935"/>
    <w:rsid w:val="00EF06AC"/>
    <w:rsid w:val="00EF37A0"/>
    <w:rsid w:val="00EF4E6D"/>
    <w:rsid w:val="00F05364"/>
    <w:rsid w:val="00F11394"/>
    <w:rsid w:val="00F13486"/>
    <w:rsid w:val="00F15FD7"/>
    <w:rsid w:val="00F24689"/>
    <w:rsid w:val="00F26AE2"/>
    <w:rsid w:val="00F470AE"/>
    <w:rsid w:val="00F552DD"/>
    <w:rsid w:val="00F605BC"/>
    <w:rsid w:val="00F60C67"/>
    <w:rsid w:val="00F65DA5"/>
    <w:rsid w:val="00F67C67"/>
    <w:rsid w:val="00F74887"/>
    <w:rsid w:val="00F93365"/>
    <w:rsid w:val="00FA3F33"/>
    <w:rsid w:val="00FB4294"/>
    <w:rsid w:val="00FB46A4"/>
    <w:rsid w:val="00FB6879"/>
    <w:rsid w:val="00FC47D1"/>
    <w:rsid w:val="00FC5141"/>
    <w:rsid w:val="00FC7C5C"/>
    <w:rsid w:val="00FD0383"/>
    <w:rsid w:val="00FD1FB1"/>
    <w:rsid w:val="00FD398B"/>
    <w:rsid w:val="00FD4A04"/>
    <w:rsid w:val="00FD5EC8"/>
    <w:rsid w:val="00FE352C"/>
    <w:rsid w:val="00FE67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6CACA-EA24-4D64-9415-45A9EAAE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A70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5">
    <w:name w:val="heading 5"/>
    <w:basedOn w:val="Normal"/>
    <w:link w:val="Balk5Char"/>
    <w:uiPriority w:val="9"/>
    <w:qFormat/>
    <w:rsid w:val="007972CF"/>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4610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24610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2461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246106"/>
  </w:style>
  <w:style w:type="paragraph" w:customStyle="1" w:styleId="metin">
    <w:name w:val="metin"/>
    <w:basedOn w:val="Normal"/>
    <w:rsid w:val="002461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246106"/>
  </w:style>
  <w:style w:type="paragraph" w:customStyle="1" w:styleId="3-normalyaz">
    <w:name w:val="3-normalyaz"/>
    <w:basedOn w:val="Normal"/>
    <w:rsid w:val="002461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BA07F7"/>
  </w:style>
  <w:style w:type="character" w:styleId="Kpr">
    <w:name w:val="Hyperlink"/>
    <w:basedOn w:val="VarsaylanParagrafYazTipi"/>
    <w:uiPriority w:val="99"/>
    <w:unhideWhenUsed/>
    <w:rsid w:val="00BA07F7"/>
    <w:rPr>
      <w:color w:val="0000FF"/>
      <w:u w:val="single"/>
    </w:rPr>
  </w:style>
  <w:style w:type="paragraph" w:styleId="GvdeMetni">
    <w:name w:val="Body Text"/>
    <w:basedOn w:val="Normal"/>
    <w:link w:val="GvdeMetniChar"/>
    <w:uiPriority w:val="99"/>
    <w:semiHidden/>
    <w:unhideWhenUsed/>
    <w:rsid w:val="00D37E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37EDC"/>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0047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00475"/>
  </w:style>
  <w:style w:type="paragraph" w:styleId="Altbilgi">
    <w:name w:val="footer"/>
    <w:basedOn w:val="Normal"/>
    <w:link w:val="AltbilgiChar"/>
    <w:uiPriority w:val="99"/>
    <w:unhideWhenUsed/>
    <w:rsid w:val="0090047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00475"/>
  </w:style>
  <w:style w:type="character" w:styleId="Gl">
    <w:name w:val="Strong"/>
    <w:basedOn w:val="VarsaylanParagrafYazTipi"/>
    <w:uiPriority w:val="22"/>
    <w:qFormat/>
    <w:rsid w:val="003D58FA"/>
    <w:rPr>
      <w:b/>
      <w:bCs/>
    </w:rPr>
  </w:style>
  <w:style w:type="paragraph" w:styleId="ListeParagraf">
    <w:name w:val="List Paragraph"/>
    <w:basedOn w:val="Normal"/>
    <w:uiPriority w:val="34"/>
    <w:qFormat/>
    <w:rsid w:val="00F67C67"/>
    <w:pPr>
      <w:spacing w:after="200" w:line="276" w:lineRule="auto"/>
      <w:ind w:left="720"/>
      <w:contextualSpacing/>
    </w:pPr>
  </w:style>
  <w:style w:type="character" w:customStyle="1" w:styleId="il">
    <w:name w:val="il"/>
    <w:basedOn w:val="VarsaylanParagrafYazTipi"/>
    <w:rsid w:val="00B705DE"/>
  </w:style>
  <w:style w:type="character" w:customStyle="1" w:styleId="Balk5Char">
    <w:name w:val="Başlık 5 Char"/>
    <w:basedOn w:val="VarsaylanParagrafYazTipi"/>
    <w:link w:val="Balk5"/>
    <w:uiPriority w:val="9"/>
    <w:rsid w:val="007972CF"/>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uiPriority w:val="9"/>
    <w:rsid w:val="009A700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3851">
      <w:bodyDiv w:val="1"/>
      <w:marLeft w:val="0"/>
      <w:marRight w:val="0"/>
      <w:marTop w:val="0"/>
      <w:marBottom w:val="0"/>
      <w:divBdr>
        <w:top w:val="none" w:sz="0" w:space="0" w:color="auto"/>
        <w:left w:val="none" w:sz="0" w:space="0" w:color="auto"/>
        <w:bottom w:val="none" w:sz="0" w:space="0" w:color="auto"/>
        <w:right w:val="none" w:sz="0" w:space="0" w:color="auto"/>
      </w:divBdr>
    </w:div>
    <w:div w:id="88088971">
      <w:bodyDiv w:val="1"/>
      <w:marLeft w:val="0"/>
      <w:marRight w:val="0"/>
      <w:marTop w:val="0"/>
      <w:marBottom w:val="0"/>
      <w:divBdr>
        <w:top w:val="none" w:sz="0" w:space="0" w:color="auto"/>
        <w:left w:val="none" w:sz="0" w:space="0" w:color="auto"/>
        <w:bottom w:val="none" w:sz="0" w:space="0" w:color="auto"/>
        <w:right w:val="none" w:sz="0" w:space="0" w:color="auto"/>
      </w:divBdr>
    </w:div>
    <w:div w:id="111361910">
      <w:bodyDiv w:val="1"/>
      <w:marLeft w:val="0"/>
      <w:marRight w:val="0"/>
      <w:marTop w:val="0"/>
      <w:marBottom w:val="0"/>
      <w:divBdr>
        <w:top w:val="none" w:sz="0" w:space="0" w:color="auto"/>
        <w:left w:val="none" w:sz="0" w:space="0" w:color="auto"/>
        <w:bottom w:val="none" w:sz="0" w:space="0" w:color="auto"/>
        <w:right w:val="none" w:sz="0" w:space="0" w:color="auto"/>
      </w:divBdr>
    </w:div>
    <w:div w:id="194392803">
      <w:bodyDiv w:val="1"/>
      <w:marLeft w:val="0"/>
      <w:marRight w:val="0"/>
      <w:marTop w:val="0"/>
      <w:marBottom w:val="0"/>
      <w:divBdr>
        <w:top w:val="none" w:sz="0" w:space="0" w:color="auto"/>
        <w:left w:val="none" w:sz="0" w:space="0" w:color="auto"/>
        <w:bottom w:val="none" w:sz="0" w:space="0" w:color="auto"/>
        <w:right w:val="none" w:sz="0" w:space="0" w:color="auto"/>
      </w:divBdr>
    </w:div>
    <w:div w:id="210578336">
      <w:bodyDiv w:val="1"/>
      <w:marLeft w:val="0"/>
      <w:marRight w:val="0"/>
      <w:marTop w:val="0"/>
      <w:marBottom w:val="0"/>
      <w:divBdr>
        <w:top w:val="none" w:sz="0" w:space="0" w:color="auto"/>
        <w:left w:val="none" w:sz="0" w:space="0" w:color="auto"/>
        <w:bottom w:val="none" w:sz="0" w:space="0" w:color="auto"/>
        <w:right w:val="none" w:sz="0" w:space="0" w:color="auto"/>
      </w:divBdr>
    </w:div>
    <w:div w:id="346253988">
      <w:bodyDiv w:val="1"/>
      <w:marLeft w:val="0"/>
      <w:marRight w:val="0"/>
      <w:marTop w:val="0"/>
      <w:marBottom w:val="0"/>
      <w:divBdr>
        <w:top w:val="none" w:sz="0" w:space="0" w:color="auto"/>
        <w:left w:val="none" w:sz="0" w:space="0" w:color="auto"/>
        <w:bottom w:val="none" w:sz="0" w:space="0" w:color="auto"/>
        <w:right w:val="none" w:sz="0" w:space="0" w:color="auto"/>
      </w:divBdr>
    </w:div>
    <w:div w:id="413864917">
      <w:bodyDiv w:val="1"/>
      <w:marLeft w:val="0"/>
      <w:marRight w:val="0"/>
      <w:marTop w:val="0"/>
      <w:marBottom w:val="0"/>
      <w:divBdr>
        <w:top w:val="none" w:sz="0" w:space="0" w:color="auto"/>
        <w:left w:val="none" w:sz="0" w:space="0" w:color="auto"/>
        <w:bottom w:val="none" w:sz="0" w:space="0" w:color="auto"/>
        <w:right w:val="none" w:sz="0" w:space="0" w:color="auto"/>
      </w:divBdr>
    </w:div>
    <w:div w:id="505874575">
      <w:bodyDiv w:val="1"/>
      <w:marLeft w:val="0"/>
      <w:marRight w:val="0"/>
      <w:marTop w:val="0"/>
      <w:marBottom w:val="0"/>
      <w:divBdr>
        <w:top w:val="none" w:sz="0" w:space="0" w:color="auto"/>
        <w:left w:val="none" w:sz="0" w:space="0" w:color="auto"/>
        <w:bottom w:val="none" w:sz="0" w:space="0" w:color="auto"/>
        <w:right w:val="none" w:sz="0" w:space="0" w:color="auto"/>
      </w:divBdr>
    </w:div>
    <w:div w:id="506097661">
      <w:bodyDiv w:val="1"/>
      <w:marLeft w:val="0"/>
      <w:marRight w:val="0"/>
      <w:marTop w:val="0"/>
      <w:marBottom w:val="0"/>
      <w:divBdr>
        <w:top w:val="none" w:sz="0" w:space="0" w:color="auto"/>
        <w:left w:val="none" w:sz="0" w:space="0" w:color="auto"/>
        <w:bottom w:val="none" w:sz="0" w:space="0" w:color="auto"/>
        <w:right w:val="none" w:sz="0" w:space="0" w:color="auto"/>
      </w:divBdr>
    </w:div>
    <w:div w:id="519322454">
      <w:bodyDiv w:val="1"/>
      <w:marLeft w:val="0"/>
      <w:marRight w:val="0"/>
      <w:marTop w:val="0"/>
      <w:marBottom w:val="0"/>
      <w:divBdr>
        <w:top w:val="none" w:sz="0" w:space="0" w:color="auto"/>
        <w:left w:val="none" w:sz="0" w:space="0" w:color="auto"/>
        <w:bottom w:val="none" w:sz="0" w:space="0" w:color="auto"/>
        <w:right w:val="none" w:sz="0" w:space="0" w:color="auto"/>
      </w:divBdr>
    </w:div>
    <w:div w:id="531378056">
      <w:bodyDiv w:val="1"/>
      <w:marLeft w:val="0"/>
      <w:marRight w:val="0"/>
      <w:marTop w:val="0"/>
      <w:marBottom w:val="0"/>
      <w:divBdr>
        <w:top w:val="none" w:sz="0" w:space="0" w:color="auto"/>
        <w:left w:val="none" w:sz="0" w:space="0" w:color="auto"/>
        <w:bottom w:val="none" w:sz="0" w:space="0" w:color="auto"/>
        <w:right w:val="none" w:sz="0" w:space="0" w:color="auto"/>
      </w:divBdr>
    </w:div>
    <w:div w:id="548765589">
      <w:bodyDiv w:val="1"/>
      <w:marLeft w:val="0"/>
      <w:marRight w:val="0"/>
      <w:marTop w:val="0"/>
      <w:marBottom w:val="0"/>
      <w:divBdr>
        <w:top w:val="none" w:sz="0" w:space="0" w:color="auto"/>
        <w:left w:val="none" w:sz="0" w:space="0" w:color="auto"/>
        <w:bottom w:val="none" w:sz="0" w:space="0" w:color="auto"/>
        <w:right w:val="none" w:sz="0" w:space="0" w:color="auto"/>
      </w:divBdr>
    </w:div>
    <w:div w:id="568612453">
      <w:bodyDiv w:val="1"/>
      <w:marLeft w:val="0"/>
      <w:marRight w:val="0"/>
      <w:marTop w:val="0"/>
      <w:marBottom w:val="0"/>
      <w:divBdr>
        <w:top w:val="none" w:sz="0" w:space="0" w:color="auto"/>
        <w:left w:val="none" w:sz="0" w:space="0" w:color="auto"/>
        <w:bottom w:val="none" w:sz="0" w:space="0" w:color="auto"/>
        <w:right w:val="none" w:sz="0" w:space="0" w:color="auto"/>
      </w:divBdr>
    </w:div>
    <w:div w:id="671950606">
      <w:bodyDiv w:val="1"/>
      <w:marLeft w:val="0"/>
      <w:marRight w:val="0"/>
      <w:marTop w:val="0"/>
      <w:marBottom w:val="0"/>
      <w:divBdr>
        <w:top w:val="none" w:sz="0" w:space="0" w:color="auto"/>
        <w:left w:val="none" w:sz="0" w:space="0" w:color="auto"/>
        <w:bottom w:val="none" w:sz="0" w:space="0" w:color="auto"/>
        <w:right w:val="none" w:sz="0" w:space="0" w:color="auto"/>
      </w:divBdr>
    </w:div>
    <w:div w:id="699353217">
      <w:bodyDiv w:val="1"/>
      <w:marLeft w:val="0"/>
      <w:marRight w:val="0"/>
      <w:marTop w:val="0"/>
      <w:marBottom w:val="0"/>
      <w:divBdr>
        <w:top w:val="none" w:sz="0" w:space="0" w:color="auto"/>
        <w:left w:val="none" w:sz="0" w:space="0" w:color="auto"/>
        <w:bottom w:val="none" w:sz="0" w:space="0" w:color="auto"/>
        <w:right w:val="none" w:sz="0" w:space="0" w:color="auto"/>
      </w:divBdr>
    </w:div>
    <w:div w:id="775635588">
      <w:bodyDiv w:val="1"/>
      <w:marLeft w:val="0"/>
      <w:marRight w:val="0"/>
      <w:marTop w:val="0"/>
      <w:marBottom w:val="0"/>
      <w:divBdr>
        <w:top w:val="none" w:sz="0" w:space="0" w:color="auto"/>
        <w:left w:val="none" w:sz="0" w:space="0" w:color="auto"/>
        <w:bottom w:val="none" w:sz="0" w:space="0" w:color="auto"/>
        <w:right w:val="none" w:sz="0" w:space="0" w:color="auto"/>
      </w:divBdr>
    </w:div>
    <w:div w:id="940602795">
      <w:bodyDiv w:val="1"/>
      <w:marLeft w:val="0"/>
      <w:marRight w:val="0"/>
      <w:marTop w:val="0"/>
      <w:marBottom w:val="0"/>
      <w:divBdr>
        <w:top w:val="none" w:sz="0" w:space="0" w:color="auto"/>
        <w:left w:val="none" w:sz="0" w:space="0" w:color="auto"/>
        <w:bottom w:val="none" w:sz="0" w:space="0" w:color="auto"/>
        <w:right w:val="none" w:sz="0" w:space="0" w:color="auto"/>
      </w:divBdr>
    </w:div>
    <w:div w:id="948128233">
      <w:bodyDiv w:val="1"/>
      <w:marLeft w:val="0"/>
      <w:marRight w:val="0"/>
      <w:marTop w:val="0"/>
      <w:marBottom w:val="0"/>
      <w:divBdr>
        <w:top w:val="none" w:sz="0" w:space="0" w:color="auto"/>
        <w:left w:val="none" w:sz="0" w:space="0" w:color="auto"/>
        <w:bottom w:val="none" w:sz="0" w:space="0" w:color="auto"/>
        <w:right w:val="none" w:sz="0" w:space="0" w:color="auto"/>
      </w:divBdr>
    </w:div>
    <w:div w:id="1059667204">
      <w:bodyDiv w:val="1"/>
      <w:marLeft w:val="0"/>
      <w:marRight w:val="0"/>
      <w:marTop w:val="0"/>
      <w:marBottom w:val="0"/>
      <w:divBdr>
        <w:top w:val="none" w:sz="0" w:space="0" w:color="auto"/>
        <w:left w:val="none" w:sz="0" w:space="0" w:color="auto"/>
        <w:bottom w:val="none" w:sz="0" w:space="0" w:color="auto"/>
        <w:right w:val="none" w:sz="0" w:space="0" w:color="auto"/>
      </w:divBdr>
    </w:div>
    <w:div w:id="1289556581">
      <w:bodyDiv w:val="1"/>
      <w:marLeft w:val="0"/>
      <w:marRight w:val="0"/>
      <w:marTop w:val="0"/>
      <w:marBottom w:val="0"/>
      <w:divBdr>
        <w:top w:val="none" w:sz="0" w:space="0" w:color="auto"/>
        <w:left w:val="none" w:sz="0" w:space="0" w:color="auto"/>
        <w:bottom w:val="none" w:sz="0" w:space="0" w:color="auto"/>
        <w:right w:val="none" w:sz="0" w:space="0" w:color="auto"/>
      </w:divBdr>
    </w:div>
    <w:div w:id="1316302096">
      <w:bodyDiv w:val="1"/>
      <w:marLeft w:val="0"/>
      <w:marRight w:val="0"/>
      <w:marTop w:val="0"/>
      <w:marBottom w:val="0"/>
      <w:divBdr>
        <w:top w:val="none" w:sz="0" w:space="0" w:color="auto"/>
        <w:left w:val="none" w:sz="0" w:space="0" w:color="auto"/>
        <w:bottom w:val="none" w:sz="0" w:space="0" w:color="auto"/>
        <w:right w:val="none" w:sz="0" w:space="0" w:color="auto"/>
      </w:divBdr>
    </w:div>
    <w:div w:id="1341660600">
      <w:bodyDiv w:val="1"/>
      <w:marLeft w:val="0"/>
      <w:marRight w:val="0"/>
      <w:marTop w:val="0"/>
      <w:marBottom w:val="0"/>
      <w:divBdr>
        <w:top w:val="none" w:sz="0" w:space="0" w:color="auto"/>
        <w:left w:val="none" w:sz="0" w:space="0" w:color="auto"/>
        <w:bottom w:val="none" w:sz="0" w:space="0" w:color="auto"/>
        <w:right w:val="none" w:sz="0" w:space="0" w:color="auto"/>
      </w:divBdr>
    </w:div>
    <w:div w:id="1564021434">
      <w:bodyDiv w:val="1"/>
      <w:marLeft w:val="0"/>
      <w:marRight w:val="0"/>
      <w:marTop w:val="0"/>
      <w:marBottom w:val="0"/>
      <w:divBdr>
        <w:top w:val="none" w:sz="0" w:space="0" w:color="auto"/>
        <w:left w:val="none" w:sz="0" w:space="0" w:color="auto"/>
        <w:bottom w:val="none" w:sz="0" w:space="0" w:color="auto"/>
        <w:right w:val="none" w:sz="0" w:space="0" w:color="auto"/>
      </w:divBdr>
    </w:div>
    <w:div w:id="1581913363">
      <w:bodyDiv w:val="1"/>
      <w:marLeft w:val="0"/>
      <w:marRight w:val="0"/>
      <w:marTop w:val="0"/>
      <w:marBottom w:val="0"/>
      <w:divBdr>
        <w:top w:val="none" w:sz="0" w:space="0" w:color="auto"/>
        <w:left w:val="none" w:sz="0" w:space="0" w:color="auto"/>
        <w:bottom w:val="none" w:sz="0" w:space="0" w:color="auto"/>
        <w:right w:val="none" w:sz="0" w:space="0" w:color="auto"/>
      </w:divBdr>
    </w:div>
    <w:div w:id="1631596592">
      <w:bodyDiv w:val="1"/>
      <w:marLeft w:val="0"/>
      <w:marRight w:val="0"/>
      <w:marTop w:val="0"/>
      <w:marBottom w:val="0"/>
      <w:divBdr>
        <w:top w:val="none" w:sz="0" w:space="0" w:color="auto"/>
        <w:left w:val="none" w:sz="0" w:space="0" w:color="auto"/>
        <w:bottom w:val="none" w:sz="0" w:space="0" w:color="auto"/>
        <w:right w:val="none" w:sz="0" w:space="0" w:color="auto"/>
      </w:divBdr>
    </w:div>
    <w:div w:id="1704473238">
      <w:bodyDiv w:val="1"/>
      <w:marLeft w:val="0"/>
      <w:marRight w:val="0"/>
      <w:marTop w:val="0"/>
      <w:marBottom w:val="0"/>
      <w:divBdr>
        <w:top w:val="none" w:sz="0" w:space="0" w:color="auto"/>
        <w:left w:val="none" w:sz="0" w:space="0" w:color="auto"/>
        <w:bottom w:val="none" w:sz="0" w:space="0" w:color="auto"/>
        <w:right w:val="none" w:sz="0" w:space="0" w:color="auto"/>
      </w:divBdr>
    </w:div>
    <w:div w:id="1759668392">
      <w:bodyDiv w:val="1"/>
      <w:marLeft w:val="0"/>
      <w:marRight w:val="0"/>
      <w:marTop w:val="0"/>
      <w:marBottom w:val="0"/>
      <w:divBdr>
        <w:top w:val="none" w:sz="0" w:space="0" w:color="auto"/>
        <w:left w:val="none" w:sz="0" w:space="0" w:color="auto"/>
        <w:bottom w:val="none" w:sz="0" w:space="0" w:color="auto"/>
        <w:right w:val="none" w:sz="0" w:space="0" w:color="auto"/>
      </w:divBdr>
    </w:div>
    <w:div w:id="1780562957">
      <w:bodyDiv w:val="1"/>
      <w:marLeft w:val="0"/>
      <w:marRight w:val="0"/>
      <w:marTop w:val="0"/>
      <w:marBottom w:val="0"/>
      <w:divBdr>
        <w:top w:val="none" w:sz="0" w:space="0" w:color="auto"/>
        <w:left w:val="none" w:sz="0" w:space="0" w:color="auto"/>
        <w:bottom w:val="none" w:sz="0" w:space="0" w:color="auto"/>
        <w:right w:val="none" w:sz="0" w:space="0" w:color="auto"/>
      </w:divBdr>
    </w:div>
    <w:div w:id="1784808281">
      <w:bodyDiv w:val="1"/>
      <w:marLeft w:val="0"/>
      <w:marRight w:val="0"/>
      <w:marTop w:val="0"/>
      <w:marBottom w:val="0"/>
      <w:divBdr>
        <w:top w:val="none" w:sz="0" w:space="0" w:color="auto"/>
        <w:left w:val="none" w:sz="0" w:space="0" w:color="auto"/>
        <w:bottom w:val="none" w:sz="0" w:space="0" w:color="auto"/>
        <w:right w:val="none" w:sz="0" w:space="0" w:color="auto"/>
      </w:divBdr>
    </w:div>
    <w:div w:id="1802843181">
      <w:bodyDiv w:val="1"/>
      <w:marLeft w:val="0"/>
      <w:marRight w:val="0"/>
      <w:marTop w:val="0"/>
      <w:marBottom w:val="0"/>
      <w:divBdr>
        <w:top w:val="none" w:sz="0" w:space="0" w:color="auto"/>
        <w:left w:val="none" w:sz="0" w:space="0" w:color="auto"/>
        <w:bottom w:val="none" w:sz="0" w:space="0" w:color="auto"/>
        <w:right w:val="none" w:sz="0" w:space="0" w:color="auto"/>
      </w:divBdr>
    </w:div>
    <w:div w:id="1808432053">
      <w:bodyDiv w:val="1"/>
      <w:marLeft w:val="0"/>
      <w:marRight w:val="0"/>
      <w:marTop w:val="0"/>
      <w:marBottom w:val="0"/>
      <w:divBdr>
        <w:top w:val="none" w:sz="0" w:space="0" w:color="auto"/>
        <w:left w:val="none" w:sz="0" w:space="0" w:color="auto"/>
        <w:bottom w:val="none" w:sz="0" w:space="0" w:color="auto"/>
        <w:right w:val="none" w:sz="0" w:space="0" w:color="auto"/>
      </w:divBdr>
    </w:div>
    <w:div w:id="1838690018">
      <w:bodyDiv w:val="1"/>
      <w:marLeft w:val="0"/>
      <w:marRight w:val="0"/>
      <w:marTop w:val="0"/>
      <w:marBottom w:val="0"/>
      <w:divBdr>
        <w:top w:val="none" w:sz="0" w:space="0" w:color="auto"/>
        <w:left w:val="none" w:sz="0" w:space="0" w:color="auto"/>
        <w:bottom w:val="none" w:sz="0" w:space="0" w:color="auto"/>
        <w:right w:val="none" w:sz="0" w:space="0" w:color="auto"/>
      </w:divBdr>
    </w:div>
    <w:div w:id="1858155728">
      <w:bodyDiv w:val="1"/>
      <w:marLeft w:val="0"/>
      <w:marRight w:val="0"/>
      <w:marTop w:val="0"/>
      <w:marBottom w:val="0"/>
      <w:divBdr>
        <w:top w:val="none" w:sz="0" w:space="0" w:color="auto"/>
        <w:left w:val="none" w:sz="0" w:space="0" w:color="auto"/>
        <w:bottom w:val="none" w:sz="0" w:space="0" w:color="auto"/>
        <w:right w:val="none" w:sz="0" w:space="0" w:color="auto"/>
      </w:divBdr>
    </w:div>
    <w:div w:id="2028751948">
      <w:bodyDiv w:val="1"/>
      <w:marLeft w:val="0"/>
      <w:marRight w:val="0"/>
      <w:marTop w:val="0"/>
      <w:marBottom w:val="0"/>
      <w:divBdr>
        <w:top w:val="none" w:sz="0" w:space="0" w:color="auto"/>
        <w:left w:val="none" w:sz="0" w:space="0" w:color="auto"/>
        <w:bottom w:val="none" w:sz="0" w:space="0" w:color="auto"/>
        <w:right w:val="none" w:sz="0" w:space="0" w:color="auto"/>
      </w:divBdr>
    </w:div>
    <w:div w:id="2057242044">
      <w:bodyDiv w:val="1"/>
      <w:marLeft w:val="0"/>
      <w:marRight w:val="0"/>
      <w:marTop w:val="0"/>
      <w:marBottom w:val="0"/>
      <w:divBdr>
        <w:top w:val="none" w:sz="0" w:space="0" w:color="auto"/>
        <w:left w:val="none" w:sz="0" w:space="0" w:color="auto"/>
        <w:bottom w:val="none" w:sz="0" w:space="0" w:color="auto"/>
        <w:right w:val="none" w:sz="0" w:space="0" w:color="auto"/>
      </w:divBdr>
    </w:div>
    <w:div w:id="212900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998A1-AC1C-4A12-A851-856F3225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2609</TotalTime>
  <Pages>3</Pages>
  <Words>1753</Words>
  <Characters>9994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244</cp:revision>
  <dcterms:created xsi:type="dcterms:W3CDTF">2016-12-14T07:30:00Z</dcterms:created>
  <dcterms:modified xsi:type="dcterms:W3CDTF">2017-09-30T07:01:00Z</dcterms:modified>
</cp:coreProperties>
</file>