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0"/>
      </w:pPr>
      <w:r>
        <w:rPr>
          <w:rFonts w:ascii="Times New Roman" w:hAnsi="Times New Roman" w:cs="Times New Roman"/>
          <w:sz w:val="24"/>
          <w:sz-cs w:val="24"/>
        </w:rPr>
        <w:t xml:space="preserve">TAŞINMAZ MAL SATILACAKTIR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b/>
          <w:color w:val="0000C0"/>
        </w:rPr>
        <w:t xml:space="preserve">Bodrum Milli Emlak Müdürlüğünden:</w:t>
      </w:r>
      <w:r>
        <w:rPr>
          <w:rFonts w:ascii="Times New Roman" w:hAnsi="Times New Roman" w:cs="Times New Roman"/>
          <w:sz w:val="26"/>
          <w:sz-cs w:val="26"/>
        </w:rPr>
        <w:t xml:space="preserve"/>
      </w:r>
    </w:p>
    <w:p>
      <w:pPr>
        <w:jc w:val="both"/>
        <w:ind w:first-line="5291"/>
        <w:spacing w:after="53"/>
      </w:pPr>
      <w:r>
        <w:rPr>
          <w:rFonts w:ascii="Times New Roman" w:hAnsi="Times New Roman" w:cs="Times New Roman"/>
          <w:sz w:val="24"/>
          <w:sz-cs w:val="24"/>
        </w:rPr>
        <w:t xml:space="preserve">2886 SAYILI KANUN UYARINCA SATIŞI YAPILACAK TAŞINMAZ MAL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İLİ/İLÇESİ/ MAHALLESİ/ MEVKİİ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PAFTA</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ADA</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PARSEL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YÜZÖLÇÜM (m</w:t>
      </w:r>
      <w:r>
        <w:rPr>
          <w:rFonts w:ascii="Times New Roman" w:hAnsi="Times New Roman" w:cs="Times New Roman"/>
          <w:sz w:val="20"/>
          <w:sz-cs w:val="20"/>
          <w:vertAlign w:val="superscript"/>
        </w:rPr>
        <w:t xml:space="preserve">2</w:t>
      </w:r>
      <w:r>
        <w:rPr>
          <w:rFonts w:ascii="Times New Roman" w:hAnsi="Times New Roman" w:cs="Times New Roman"/>
          <w:sz w:val="24"/>
          <w:sz-cs w:val="24"/>
        </w:rPr>
        <w:t xml:space="preserve">)</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HİSSESİ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CİNSİ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İMAR DURUMU</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TAHMİNİ BEDELİ (TL)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GEÇİCİ TEMİNAT (TL)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İHALE TARİHİ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İHALE SAATİ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Muğla/Bodrum/Ortakent/Köyiçi</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N18-C-17-C-3-C, N18-C-18-D-4-D</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230</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8</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1.456,28</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Tam</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Arsa</w:t>
      </w:r>
      <w:r>
        <w:rPr>
          <w:rFonts w:ascii="Times New Roman" w:hAnsi="Times New Roman" w:cs="Times New Roman"/>
          <w:sz w:val="26"/>
          <w:sz-cs w:val="26"/>
        </w:rPr>
        <w:t xml:space="preserve"/>
      </w:r>
    </w:p>
    <w:p>
      <w:pPr>
        <w:jc w:val="both"/>
        <w:spacing w:after="0"/>
      </w:pPr>
      <w:r>
        <w:rPr>
          <w:rFonts w:ascii="Times New Roman" w:hAnsi="Times New Roman" w:cs="Times New Roman"/>
          <w:sz w:val="24"/>
          <w:sz-cs w:val="24"/>
        </w:rPr>
        <w:t xml:space="preserve">1/1000 ölçeklirevizyon ve ilave imar planında kısmen E:0,80 yoğunluklu T2 Ticaret alanı kısmen yol, kısmen park alanında kalmaktadır.</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2.912.560,00 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291.256,00 TL</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15/07/2016</w:t>
      </w:r>
      <w:r>
        <w:rPr>
          <w:rFonts w:ascii="Times New Roman" w:hAnsi="Times New Roman" w:cs="Times New Roman"/>
          <w:sz w:val="26"/>
          <w:sz-cs w:val="26"/>
        </w:rPr>
        <w:t xml:space="preserve"/>
      </w:r>
    </w:p>
    <w:p>
      <w:pPr>
        <w:jc w:val="center"/>
        <w:spacing w:after="0"/>
      </w:pPr>
      <w:r>
        <w:rPr>
          <w:rFonts w:ascii="Times New Roman" w:hAnsi="Times New Roman" w:cs="Times New Roman"/>
          <w:sz w:val="24"/>
          <w:sz-cs w:val="24"/>
        </w:rPr>
        <w:t xml:space="preserve">11:00</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 </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Yukarıda nitelikleri belirtilen mülkiyeti Hazineye ait taşınmaz malın 2886 sayılı Devleti İhale Kanununun 45. maddesi uyarınca açık teklif usulüyle satış ihalesine çıkarılmıştır.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1 - İhale, yukarıda belirtilen gün ve saatte Bodrum Milli Emlak Müdürlüğünde Milli Emlak Müdürü Odasında toplanacak ihale komisyonunca yapılacaktır.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2 - İhaleye katılmak isteyen isteklilerin ihale saatine kadar;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a) Yasal yerleşim yerini gösterir belgeyi,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b) Tebligat için Türkiye'deki adreslerini gösterir belgeyi,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c) Gerçek kişilerin T.C. Kimlik numaralarını bildirmeleri ve nüfus cüzdan suretlerini vermeleri (Aslı ihaleye başlamadan önce ibraz edilecektir.), tüzel kişilerin ise vergi kimlik numarasını bildirmeleri,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 vekaletnameyi 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 yada noter tasdikli olması gerekmektedir.)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3 - Yapılacak ihalede, tekliflerin posta yoluyla veya elden gönderilmesi halinde yine ihale gün ve saatine kadar İhale Komisyonu Başkanlığına ulaştırılması gerekmektedir. Posta ile yapılacak müracaatlarda postadaki gecikmelerden ihale komisyonu sorumlu değildir.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4 - İstekliler, mesai saatleri içinde her türlü bilgi ve şartnameyi Milli Emlak Müdürlüğünden bedelsiz olarak görebileceklerdir.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5 - Komisyon ihaleyi yapıp yapmamakta serbesttir.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7 - Türkiye genelindeki ihale bilgileri http://www.milliemlak.gov.tr adresinden öğrenilebilir. (Bilgi İçin : 0 (252) 316 75 25)</w:t>
      </w:r>
      <w:r>
        <w:rPr>
          <w:rFonts w:ascii="Times New Roman" w:hAnsi="Times New Roman" w:cs="Times New Roman"/>
          <w:sz w:val="26"/>
          <w:sz-cs w:val="26"/>
        </w:rPr>
        <w:t xml:space="preserve"/>
      </w:r>
    </w:p>
    <w:p>
      <w:pPr>
        <w:jc w:val="both"/>
        <w:ind w:first-line="755"/>
        <w:spacing w:after="0"/>
      </w:pPr>
      <w:r>
        <w:rPr>
          <w:rFonts w:ascii="Times New Roman" w:hAnsi="Times New Roman" w:cs="Times New Roman"/>
          <w:sz w:val="24"/>
          <w:sz-cs w:val="24"/>
        </w:rPr>
        <w:t xml:space="preserve">İlan olunur.</w:t>
      </w:r>
      <w:r>
        <w:rPr>
          <w:rFonts w:ascii="Times New Roman" w:hAnsi="Times New Roman" w:cs="Times New Roman"/>
          <w:sz w:val="26"/>
          <w:sz-cs w:val="26"/>
        </w:rPr>
        <w:t xml:space="preserve"/>
      </w:r>
    </w:p>
    <w:p>
      <w:pPr>
        <w:jc w:val="right"/>
        <w:ind w:first-line="755"/>
        <w:spacing w:after="0"/>
      </w:pPr>
      <w:r>
        <w:rPr>
          <w:rFonts w:ascii="Times New Roman" w:hAnsi="Times New Roman" w:cs="Times New Roman"/>
          <w:sz w:val="24"/>
          <w:sz-cs w:val="24"/>
        </w:rPr>
        <w:t xml:space="preserve">6097/1-1</w:t>
      </w:r>
      <w:r>
        <w:rPr>
          <w:rFonts w:ascii="Times New Roman" w:hAnsi="Times New Roman" w:cs="Times New Roman"/>
          <w:sz w:val="26"/>
          <w:sz-cs w:val="26"/>
        </w:rPr>
        <w:t xml:space="preserve"/>
      </w:r>
    </w:p>
    <w:p>
      <w:pPr>
        <w:spacing w:after="0"/>
      </w:pPr>
      <w:r>
        <w:rPr>
          <w:rFonts w:ascii="Arial" w:hAnsi="Arial" w:cs="Arial"/>
          <w:sz w:val="38"/>
          <w:sz-cs w:val="38"/>
          <w:u w:val="single"/>
          <w:color w:val="6B006D"/>
        </w:rPr>
        <w:t xml:space="preserve">▲</w:t>
      </w:r>
      <w:r>
        <w:rPr>
          <w:rFonts w:ascii="Times New Roman" w:hAnsi="Times New Roman" w:cs="Times New Roman"/>
          <w:sz w:val="24"/>
          <w:sz-cs w:val="24"/>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coreProperties>
</file>

<file path=docProps/meta.xml><?xml version="1.0" encoding="utf-8"?>
<meta xmlns="http://schemas.apple.com/cocoa/2006/metadata">
  <generator>CocoaOOXMLWriter/1265.21</generator>
</meta>
</file>