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307590"/>
          <w:left w:val="single" w:sz="6" w:space="0" w:color="307590"/>
          <w:bottom w:val="single" w:sz="6" w:space="0" w:color="307590"/>
          <w:right w:val="single" w:sz="6" w:space="0" w:color="307590"/>
        </w:tblBorders>
        <w:shd w:val="clear" w:color="auto" w:fill="FFFFFF"/>
        <w:tblCellMar>
          <w:top w:w="15" w:type="dxa"/>
          <w:left w:w="15" w:type="dxa"/>
          <w:bottom w:w="15" w:type="dxa"/>
          <w:right w:w="15" w:type="dxa"/>
        </w:tblCellMar>
        <w:tblLook w:val="04A0"/>
      </w:tblPr>
      <w:tblGrid>
        <w:gridCol w:w="4534"/>
        <w:gridCol w:w="4706"/>
      </w:tblGrid>
      <w:tr w:rsidR="007B5EA5" w:rsidRPr="007B5EA5" w:rsidTr="007B5EA5">
        <w:trPr>
          <w:gridAfter w:val="1"/>
          <w:wAfter w:w="6698" w:type="dxa"/>
        </w:trPr>
        <w:tc>
          <w:tcPr>
            <w:tcW w:w="6698"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Olağan</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Tarihi ve Saati</w:t>
            </w:r>
          </w:p>
        </w:tc>
        <w:tc>
          <w:tcPr>
            <w:tcW w:w="6698"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 xml:space="preserve">25.03.2014 </w:t>
            </w:r>
            <w:proofErr w:type="gramStart"/>
            <w:r w:rsidRPr="007B5EA5">
              <w:rPr>
                <w:rFonts w:ascii="Verdana" w:eastAsia="Times New Roman" w:hAnsi="Verdana" w:cs="Times New Roman"/>
                <w:color w:val="0D3734"/>
                <w:sz w:val="17"/>
                <w:szCs w:val="17"/>
                <w:lang w:eastAsia="tr-TR"/>
              </w:rPr>
              <w:t>15:00</w:t>
            </w:r>
            <w:proofErr w:type="gramEnd"/>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Hesap Dönemi Başlangıç Tarihi</w:t>
            </w:r>
          </w:p>
        </w:tc>
        <w:tc>
          <w:tcPr>
            <w:tcW w:w="6698"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01.01.2013</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Hesap Dönemi Bitiş Tarihi</w:t>
            </w:r>
          </w:p>
        </w:tc>
        <w:tc>
          <w:tcPr>
            <w:tcW w:w="6698"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31.12.2013</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Genel Kurul Yapıldı mı?</w:t>
            </w:r>
          </w:p>
        </w:tc>
        <w:tc>
          <w:tcPr>
            <w:tcW w:w="6698"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Evet</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Alınan Kararlar</w:t>
            </w:r>
          </w:p>
        </w:tc>
        <w:tc>
          <w:tcPr>
            <w:tcW w:w="6698"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Şirketimizin Genel Kurul Toplantısı 25.3.2014 tarihinde, saat: 15.00'de, şirket merkezinde yapılmıştır.</w:t>
            </w:r>
            <w:r w:rsidRPr="007B5EA5">
              <w:rPr>
                <w:rFonts w:ascii="Verdana" w:eastAsia="Times New Roman" w:hAnsi="Verdana" w:cs="Times New Roman"/>
                <w:color w:val="0D3734"/>
                <w:sz w:val="17"/>
                <w:szCs w:val="17"/>
                <w:lang w:eastAsia="tr-TR"/>
              </w:rPr>
              <w:br/>
            </w:r>
            <w:proofErr w:type="gramStart"/>
            <w:r w:rsidRPr="007B5EA5">
              <w:rPr>
                <w:rFonts w:ascii="Verdana" w:eastAsia="Times New Roman" w:hAnsi="Verdana" w:cs="Times New Roman"/>
                <w:color w:val="0D3734"/>
                <w:sz w:val="17"/>
                <w:szCs w:val="17"/>
                <w:lang w:eastAsia="tr-TR"/>
              </w:rPr>
              <w:t>Hazır bulunanlar listesinin tetkikinde, şirket paylarının 10.650.794,-TL toplam itibari değerinin; toplam itibari değeri 5.938.684,463 TL olan 593.868.446 payın temsilen olmak üzere toplantıda temsil edildiği ve böylece gerek kanun ve gerekse esas sözleşmede öngörülen asgari toplantı nisabının mevcut olduğunun anlaşılması üzerine gündemin görüşülmesine geçilmiştir.</w:t>
            </w:r>
            <w:proofErr w:type="gramEnd"/>
            <w:r w:rsidRPr="007B5EA5">
              <w:rPr>
                <w:rFonts w:ascii="Verdana" w:eastAsia="Times New Roman" w:hAnsi="Verdana" w:cs="Times New Roman"/>
                <w:color w:val="0D3734"/>
                <w:sz w:val="17"/>
                <w:szCs w:val="17"/>
                <w:lang w:eastAsia="tr-TR"/>
              </w:rPr>
              <w:br/>
              <w:t>* Saygı duruşunda bulunuldu.</w:t>
            </w:r>
            <w:r w:rsidRPr="007B5EA5">
              <w:rPr>
                <w:rFonts w:ascii="Verdana" w:eastAsia="Times New Roman" w:hAnsi="Verdana" w:cs="Times New Roman"/>
                <w:color w:val="0D3734"/>
                <w:sz w:val="17"/>
                <w:szCs w:val="17"/>
                <w:lang w:eastAsia="tr-TR"/>
              </w:rPr>
              <w:br/>
              <w:t xml:space="preserve">* Toplantı Başkanlığına MUSTAFA </w:t>
            </w:r>
            <w:proofErr w:type="spellStart"/>
            <w:r w:rsidRPr="007B5EA5">
              <w:rPr>
                <w:rFonts w:ascii="Verdana" w:eastAsia="Times New Roman" w:hAnsi="Verdana" w:cs="Times New Roman"/>
                <w:color w:val="0D3734"/>
                <w:sz w:val="17"/>
                <w:szCs w:val="17"/>
                <w:lang w:eastAsia="tr-TR"/>
              </w:rPr>
              <w:t>FİLİZ'in</w:t>
            </w:r>
            <w:proofErr w:type="spellEnd"/>
            <w:r w:rsidRPr="007B5EA5">
              <w:rPr>
                <w:rFonts w:ascii="Verdana" w:eastAsia="Times New Roman" w:hAnsi="Verdana" w:cs="Times New Roman"/>
                <w:color w:val="0D3734"/>
                <w:sz w:val="17"/>
                <w:szCs w:val="17"/>
                <w:lang w:eastAsia="tr-TR"/>
              </w:rPr>
              <w:t xml:space="preserve"> seçilmesine oybirliği ile karar verildi.</w:t>
            </w:r>
            <w:r w:rsidRPr="007B5EA5">
              <w:rPr>
                <w:rFonts w:ascii="Verdana" w:eastAsia="Times New Roman" w:hAnsi="Verdana" w:cs="Times New Roman"/>
                <w:color w:val="0D3734"/>
                <w:sz w:val="17"/>
                <w:lang w:eastAsia="tr-TR"/>
              </w:rPr>
              <w:t> </w:t>
            </w:r>
            <w:r w:rsidRPr="007B5EA5">
              <w:rPr>
                <w:rFonts w:ascii="Verdana" w:eastAsia="Times New Roman" w:hAnsi="Verdana" w:cs="Times New Roman"/>
                <w:color w:val="0D3734"/>
                <w:sz w:val="17"/>
                <w:szCs w:val="17"/>
                <w:lang w:eastAsia="tr-TR"/>
              </w:rPr>
              <w:br/>
              <w:t>Tevdi eden temsilcilerinin 482.332,- TL itibari değerli payları temsil ettikleri toplantı başkanı tarafından Genel Kurul'a açıklanmıştır.</w:t>
            </w:r>
            <w:r w:rsidRPr="007B5EA5">
              <w:rPr>
                <w:rFonts w:ascii="Verdana" w:eastAsia="Times New Roman" w:hAnsi="Verdana" w:cs="Times New Roman"/>
                <w:color w:val="0D3734"/>
                <w:sz w:val="17"/>
                <w:szCs w:val="17"/>
                <w:lang w:eastAsia="tr-TR"/>
              </w:rPr>
              <w:br/>
              <w:t>Gündem maddeleri Genel Kurul'a okunmuş ve gündem maddelerinin sırasının değiştirilmesi ile ilgili bir öneri olmadığı için gündem maddelerinin görüşülmesine ilan edildiği sırada devam edilmiştir.</w:t>
            </w:r>
            <w:r w:rsidRPr="007B5EA5">
              <w:rPr>
                <w:rFonts w:ascii="Verdana" w:eastAsia="Times New Roman" w:hAnsi="Verdana" w:cs="Times New Roman"/>
                <w:color w:val="0D3734"/>
                <w:sz w:val="17"/>
                <w:szCs w:val="17"/>
                <w:lang w:eastAsia="tr-TR"/>
              </w:rPr>
              <w:br/>
              <w:t>* Genel Kurul tutanaklarının imzalanması için Toplantı Başkanlığı'na yetki verilmesine oybirliği ile karar verildi.</w:t>
            </w:r>
            <w:r w:rsidRPr="007B5EA5">
              <w:rPr>
                <w:rFonts w:ascii="Verdana" w:eastAsia="Times New Roman" w:hAnsi="Verdana" w:cs="Times New Roman"/>
                <w:color w:val="0D3734"/>
                <w:sz w:val="17"/>
                <w:szCs w:val="17"/>
                <w:lang w:eastAsia="tr-TR"/>
              </w:rPr>
              <w:br/>
              <w:t>*Yönetim Kurulu yıllık faaliyet raporu Yönetim Kurulu üyeleri tarafından, Denetçi Raporu ise Denetçi BDO Denet Bağımsız Denetim Yeminli Mali Müşavirlik A.Ş.'</w:t>
            </w:r>
            <w:proofErr w:type="spellStart"/>
            <w:r w:rsidRPr="007B5EA5">
              <w:rPr>
                <w:rFonts w:ascii="Verdana" w:eastAsia="Times New Roman" w:hAnsi="Verdana" w:cs="Times New Roman"/>
                <w:color w:val="0D3734"/>
                <w:sz w:val="17"/>
                <w:szCs w:val="17"/>
                <w:lang w:eastAsia="tr-TR"/>
              </w:rPr>
              <w:t>yi</w:t>
            </w:r>
            <w:proofErr w:type="spellEnd"/>
            <w:r w:rsidRPr="007B5EA5">
              <w:rPr>
                <w:rFonts w:ascii="Verdana" w:eastAsia="Times New Roman" w:hAnsi="Verdana" w:cs="Times New Roman"/>
                <w:color w:val="0D3734"/>
                <w:sz w:val="17"/>
                <w:szCs w:val="17"/>
                <w:lang w:eastAsia="tr-TR"/>
              </w:rPr>
              <w:t xml:space="preserve"> (</w:t>
            </w:r>
            <w:proofErr w:type="spellStart"/>
            <w:r w:rsidRPr="007B5EA5">
              <w:rPr>
                <w:rFonts w:ascii="Verdana" w:eastAsia="Times New Roman" w:hAnsi="Verdana" w:cs="Times New Roman"/>
                <w:color w:val="0D3734"/>
                <w:sz w:val="17"/>
                <w:szCs w:val="17"/>
                <w:lang w:eastAsia="tr-TR"/>
              </w:rPr>
              <w:t>Member</w:t>
            </w:r>
            <w:proofErr w:type="spellEnd"/>
            <w:r w:rsidRPr="007B5EA5">
              <w:rPr>
                <w:rFonts w:ascii="Verdana" w:eastAsia="Times New Roman" w:hAnsi="Verdana" w:cs="Times New Roman"/>
                <w:color w:val="0D3734"/>
                <w:sz w:val="17"/>
                <w:szCs w:val="17"/>
                <w:lang w:eastAsia="tr-TR"/>
              </w:rPr>
              <w:t xml:space="preserve">, BDO </w:t>
            </w:r>
            <w:proofErr w:type="spellStart"/>
            <w:r w:rsidRPr="007B5EA5">
              <w:rPr>
                <w:rFonts w:ascii="Verdana" w:eastAsia="Times New Roman" w:hAnsi="Verdana" w:cs="Times New Roman"/>
                <w:color w:val="0D3734"/>
                <w:sz w:val="17"/>
                <w:szCs w:val="17"/>
                <w:lang w:eastAsia="tr-TR"/>
              </w:rPr>
              <w:t>International</w:t>
            </w:r>
            <w:proofErr w:type="spellEnd"/>
            <w:r w:rsidRPr="007B5EA5">
              <w:rPr>
                <w:rFonts w:ascii="Verdana" w:eastAsia="Times New Roman" w:hAnsi="Verdana" w:cs="Times New Roman"/>
                <w:color w:val="0D3734"/>
                <w:sz w:val="17"/>
                <w:szCs w:val="17"/>
                <w:lang w:eastAsia="tr-TR"/>
              </w:rPr>
              <w:t xml:space="preserve"> Network) temsilen Bülent </w:t>
            </w:r>
            <w:proofErr w:type="spellStart"/>
            <w:r w:rsidRPr="007B5EA5">
              <w:rPr>
                <w:rFonts w:ascii="Verdana" w:eastAsia="Times New Roman" w:hAnsi="Verdana" w:cs="Times New Roman"/>
                <w:color w:val="0D3734"/>
                <w:sz w:val="17"/>
                <w:szCs w:val="17"/>
                <w:lang w:eastAsia="tr-TR"/>
              </w:rPr>
              <w:t>Üstünel</w:t>
            </w:r>
            <w:proofErr w:type="spellEnd"/>
            <w:r w:rsidRPr="007B5EA5">
              <w:rPr>
                <w:rFonts w:ascii="Verdana" w:eastAsia="Times New Roman" w:hAnsi="Verdana" w:cs="Times New Roman"/>
                <w:color w:val="0D3734"/>
                <w:sz w:val="17"/>
                <w:szCs w:val="17"/>
                <w:lang w:eastAsia="tr-TR"/>
              </w:rPr>
              <w:t xml:space="preserve"> tarafından okundu, Bağımsız Denetleme Kuruluşu raporunun da okunmasından sonra müzakereye açıldı. Söz alan olmadı.</w:t>
            </w:r>
            <w:r w:rsidRPr="007B5EA5">
              <w:rPr>
                <w:rFonts w:ascii="Verdana" w:eastAsia="Times New Roman" w:hAnsi="Verdana" w:cs="Times New Roman"/>
                <w:color w:val="0D3734"/>
                <w:sz w:val="17"/>
                <w:szCs w:val="17"/>
                <w:lang w:eastAsia="tr-TR"/>
              </w:rPr>
              <w:br/>
              <w:t xml:space="preserve">* 2013 yılı Finansal Durum Tablosu ve Kapsamlı Gelir Tablosu okundu. Müzakereye </w:t>
            </w:r>
            <w:proofErr w:type="gramStart"/>
            <w:r w:rsidRPr="007B5EA5">
              <w:rPr>
                <w:rFonts w:ascii="Verdana" w:eastAsia="Times New Roman" w:hAnsi="Verdana" w:cs="Times New Roman"/>
                <w:color w:val="0D3734"/>
                <w:sz w:val="17"/>
                <w:szCs w:val="17"/>
                <w:lang w:eastAsia="tr-TR"/>
              </w:rPr>
              <w:t>açıldı.Söz</w:t>
            </w:r>
            <w:proofErr w:type="gramEnd"/>
            <w:r w:rsidRPr="007B5EA5">
              <w:rPr>
                <w:rFonts w:ascii="Verdana" w:eastAsia="Times New Roman" w:hAnsi="Verdana" w:cs="Times New Roman"/>
                <w:color w:val="0D3734"/>
                <w:sz w:val="17"/>
                <w:szCs w:val="17"/>
                <w:lang w:eastAsia="tr-TR"/>
              </w:rPr>
              <w:t xml:space="preserve"> alan olmadı. Yapılan oylama sonucunda oybirliği ile tasdik edildi.</w:t>
            </w:r>
            <w:r w:rsidRPr="007B5EA5">
              <w:rPr>
                <w:rFonts w:ascii="Verdana" w:eastAsia="Times New Roman" w:hAnsi="Verdana" w:cs="Times New Roman"/>
                <w:color w:val="0D3734"/>
                <w:sz w:val="17"/>
                <w:lang w:eastAsia="tr-TR"/>
              </w:rPr>
              <w:t> </w:t>
            </w:r>
            <w:r w:rsidRPr="007B5EA5">
              <w:rPr>
                <w:rFonts w:ascii="Verdana" w:eastAsia="Times New Roman" w:hAnsi="Verdana" w:cs="Times New Roman"/>
                <w:color w:val="0D3734"/>
                <w:sz w:val="17"/>
                <w:szCs w:val="17"/>
                <w:lang w:eastAsia="tr-TR"/>
              </w:rPr>
              <w:br/>
              <w:t>* 2013 yılı faaliyetlerinden dolayı Yönetim Kurulu üyeleri yapılan oylama sonucunda oybirliği ile ibra edildiler. Yönetim Kurulu üyeleri kendi ibralarında oy kullanmadılar.</w:t>
            </w:r>
            <w:r w:rsidRPr="007B5EA5">
              <w:rPr>
                <w:rFonts w:ascii="Verdana" w:eastAsia="Times New Roman" w:hAnsi="Verdana" w:cs="Times New Roman"/>
                <w:color w:val="0D3734"/>
                <w:sz w:val="17"/>
                <w:szCs w:val="17"/>
                <w:lang w:eastAsia="tr-TR"/>
              </w:rPr>
              <w:br/>
              <w:t>* Yönetim Kurulu üyelerinin ve üst düzey yöneticilerin ücretlendirme esasları hakkında yönetim kurulu tarafından bilgi verildi.</w:t>
            </w:r>
            <w:r w:rsidRPr="007B5EA5">
              <w:rPr>
                <w:rFonts w:ascii="Verdana" w:eastAsia="Times New Roman" w:hAnsi="Verdana" w:cs="Times New Roman"/>
                <w:color w:val="0D3734"/>
                <w:sz w:val="17"/>
                <w:szCs w:val="17"/>
                <w:lang w:eastAsia="tr-TR"/>
              </w:rPr>
              <w:br/>
              <w:t xml:space="preserve">* Şirket Kar Dağıtım Politikası hakkında bilgi verildi. Müzakereye açıldı. Söz alan olmadı. Yapılan oylama sonucunda 58.913 </w:t>
            </w:r>
            <w:proofErr w:type="spellStart"/>
            <w:r w:rsidRPr="007B5EA5">
              <w:rPr>
                <w:rFonts w:ascii="Verdana" w:eastAsia="Times New Roman" w:hAnsi="Verdana" w:cs="Times New Roman"/>
                <w:color w:val="0D3734"/>
                <w:sz w:val="17"/>
                <w:szCs w:val="17"/>
                <w:lang w:eastAsia="tr-TR"/>
              </w:rPr>
              <w:t>red</w:t>
            </w:r>
            <w:proofErr w:type="spellEnd"/>
            <w:r w:rsidRPr="007B5EA5">
              <w:rPr>
                <w:rFonts w:ascii="Verdana" w:eastAsia="Times New Roman" w:hAnsi="Verdana" w:cs="Times New Roman"/>
                <w:color w:val="0D3734"/>
                <w:sz w:val="17"/>
                <w:szCs w:val="17"/>
                <w:lang w:eastAsia="tr-TR"/>
              </w:rPr>
              <w:t xml:space="preserve"> oyuna karşı 5.879.771,463 kabul oyu ile oyçokluğu ile onaylandı.</w:t>
            </w:r>
            <w:r w:rsidRPr="007B5EA5">
              <w:rPr>
                <w:rFonts w:ascii="Verdana" w:eastAsia="Times New Roman" w:hAnsi="Verdana" w:cs="Times New Roman"/>
                <w:color w:val="0D3734"/>
                <w:sz w:val="17"/>
                <w:szCs w:val="17"/>
                <w:lang w:eastAsia="tr-TR"/>
              </w:rPr>
              <w:br/>
              <w:t>* Kar dağıtımı ile ilgili Yönetim Kurulunun teklifi okundu. Hissedarların önergeleri okunarak, yapılan oylama sonucunda, Yönetim Kurulu faaliyet raporunda önerildiği üzere ve verilen önerge doğrultusunda;</w:t>
            </w:r>
            <w:r w:rsidRPr="007B5EA5">
              <w:rPr>
                <w:rFonts w:ascii="Verdana" w:eastAsia="Times New Roman" w:hAnsi="Verdana" w:cs="Times New Roman"/>
                <w:color w:val="0D3734"/>
                <w:sz w:val="17"/>
                <w:szCs w:val="17"/>
                <w:lang w:eastAsia="tr-TR"/>
              </w:rPr>
              <w:br/>
              <w:t>Şirketimizin, 2013 yılına ait finansal tablolarında yer alan dönem kârı 84.385.039 TL'dir. Önceki yıllarda ayrılan birinci tertip genel kanuni yedek akçe tutarı yasal tavana ulaştığından, net dağıtılabilir dönem karı da 84.385.039 TL'dir.</w:t>
            </w:r>
            <w:r w:rsidRPr="007B5EA5">
              <w:rPr>
                <w:rFonts w:ascii="Verdana" w:eastAsia="Times New Roman" w:hAnsi="Verdana" w:cs="Times New Roman"/>
                <w:color w:val="0D3734"/>
                <w:sz w:val="17"/>
                <w:szCs w:val="17"/>
                <w:lang w:eastAsia="tr-TR"/>
              </w:rPr>
              <w:br/>
              <w:t xml:space="preserve">- Net dağıtılabilir dönem kârından 4.260.318 TL' </w:t>
            </w:r>
            <w:proofErr w:type="spellStart"/>
            <w:r w:rsidRPr="007B5EA5">
              <w:rPr>
                <w:rFonts w:ascii="Verdana" w:eastAsia="Times New Roman" w:hAnsi="Verdana" w:cs="Times New Roman"/>
                <w:color w:val="0D3734"/>
                <w:sz w:val="17"/>
                <w:szCs w:val="17"/>
                <w:lang w:eastAsia="tr-TR"/>
              </w:rPr>
              <w:t>lik</w:t>
            </w:r>
            <w:proofErr w:type="spellEnd"/>
            <w:r w:rsidRPr="007B5EA5">
              <w:rPr>
                <w:rFonts w:ascii="Verdana" w:eastAsia="Times New Roman" w:hAnsi="Verdana" w:cs="Times New Roman"/>
                <w:color w:val="0D3734"/>
                <w:sz w:val="17"/>
                <w:szCs w:val="17"/>
                <w:lang w:eastAsia="tr-TR"/>
              </w:rPr>
              <w:t xml:space="preserve"> kısmının ortaklara kâr payı olarak nakden dağıtılmasına,</w:t>
            </w:r>
            <w:r w:rsidRPr="007B5EA5">
              <w:rPr>
                <w:rFonts w:ascii="Verdana" w:eastAsia="Times New Roman" w:hAnsi="Verdana" w:cs="Times New Roman"/>
                <w:color w:val="0D3734"/>
                <w:sz w:val="17"/>
                <w:szCs w:val="17"/>
                <w:lang w:eastAsia="tr-TR"/>
              </w:rPr>
              <w:br/>
              <w:t xml:space="preserve">- Dağıtılacak kâr payı üzerinden 372.778 TL </w:t>
            </w:r>
            <w:r w:rsidRPr="007B5EA5">
              <w:rPr>
                <w:rFonts w:ascii="Verdana" w:eastAsia="Times New Roman" w:hAnsi="Verdana" w:cs="Times New Roman"/>
                <w:color w:val="0D3734"/>
                <w:sz w:val="17"/>
                <w:szCs w:val="17"/>
                <w:lang w:eastAsia="tr-TR"/>
              </w:rPr>
              <w:lastRenderedPageBreak/>
              <w:t>tutarında ikinci tertip genel kanuni yedek akçe ayrılmasına, - Kalan tutarın olağanüstü yedek akçelere eklenmesine,</w:t>
            </w:r>
            <w:r w:rsidRPr="007B5EA5">
              <w:rPr>
                <w:rFonts w:ascii="Verdana" w:eastAsia="Times New Roman" w:hAnsi="Verdana" w:cs="Times New Roman"/>
                <w:color w:val="0D3734"/>
                <w:sz w:val="17"/>
                <w:szCs w:val="17"/>
                <w:lang w:eastAsia="tr-TR"/>
              </w:rPr>
              <w:br/>
              <w:t>- Kâr payı dağıtımına 30 Mayıs 2014 tarihinde başlanmasına,</w:t>
            </w:r>
            <w:r w:rsidRPr="007B5EA5">
              <w:rPr>
                <w:rFonts w:ascii="Verdana" w:eastAsia="Times New Roman" w:hAnsi="Verdana" w:cs="Times New Roman"/>
                <w:color w:val="0D3734"/>
                <w:sz w:val="17"/>
                <w:szCs w:val="17"/>
                <w:lang w:eastAsia="tr-TR"/>
              </w:rPr>
              <w:br/>
              <w:t>oybirliği ile karar verildi.</w:t>
            </w:r>
            <w:r w:rsidRPr="007B5EA5">
              <w:rPr>
                <w:rFonts w:ascii="Verdana" w:eastAsia="Times New Roman" w:hAnsi="Verdana" w:cs="Times New Roman"/>
                <w:color w:val="0D3734"/>
                <w:sz w:val="17"/>
                <w:szCs w:val="17"/>
                <w:lang w:eastAsia="tr-TR"/>
              </w:rPr>
              <w:br/>
              <w:t xml:space="preserve">* Yönetim Kurulu üyelerinden İzzet Cemal </w:t>
            </w:r>
            <w:proofErr w:type="spellStart"/>
            <w:r w:rsidRPr="007B5EA5">
              <w:rPr>
                <w:rFonts w:ascii="Verdana" w:eastAsia="Times New Roman" w:hAnsi="Verdana" w:cs="Times New Roman"/>
                <w:color w:val="0D3734"/>
                <w:sz w:val="17"/>
                <w:szCs w:val="17"/>
                <w:lang w:eastAsia="tr-TR"/>
              </w:rPr>
              <w:t>Kişmir</w:t>
            </w:r>
            <w:proofErr w:type="spellEnd"/>
            <w:r w:rsidRPr="007B5EA5">
              <w:rPr>
                <w:rFonts w:ascii="Verdana" w:eastAsia="Times New Roman" w:hAnsi="Verdana" w:cs="Times New Roman"/>
                <w:color w:val="0D3734"/>
                <w:sz w:val="17"/>
                <w:szCs w:val="17"/>
                <w:lang w:eastAsia="tr-TR"/>
              </w:rPr>
              <w:t xml:space="preserve"> ve Mehmet </w:t>
            </w:r>
            <w:proofErr w:type="spellStart"/>
            <w:r w:rsidRPr="007B5EA5">
              <w:rPr>
                <w:rFonts w:ascii="Verdana" w:eastAsia="Times New Roman" w:hAnsi="Verdana" w:cs="Times New Roman"/>
                <w:color w:val="0D3734"/>
                <w:sz w:val="17"/>
                <w:szCs w:val="17"/>
                <w:lang w:eastAsia="tr-TR"/>
              </w:rPr>
              <w:t>Sağıroğlu'na</w:t>
            </w:r>
            <w:proofErr w:type="spellEnd"/>
            <w:r w:rsidRPr="007B5EA5">
              <w:rPr>
                <w:rFonts w:ascii="Verdana" w:eastAsia="Times New Roman" w:hAnsi="Verdana" w:cs="Times New Roman"/>
                <w:color w:val="0D3734"/>
                <w:sz w:val="17"/>
                <w:szCs w:val="17"/>
                <w:lang w:eastAsia="tr-TR"/>
              </w:rPr>
              <w:t xml:space="preserve"> aylık brüt 3.250,-TL ücret verilmesine, diğer Yönetim Kurulu üyelerine ücret verilmemesine oybirliği ile karar verildi.</w:t>
            </w:r>
            <w:r w:rsidRPr="007B5EA5">
              <w:rPr>
                <w:rFonts w:ascii="Verdana" w:eastAsia="Times New Roman" w:hAnsi="Verdana" w:cs="Times New Roman"/>
                <w:color w:val="0D3734"/>
                <w:sz w:val="17"/>
                <w:lang w:eastAsia="tr-TR"/>
              </w:rPr>
              <w:t> </w:t>
            </w:r>
            <w:r w:rsidRPr="007B5EA5">
              <w:rPr>
                <w:rFonts w:ascii="Verdana" w:eastAsia="Times New Roman" w:hAnsi="Verdana" w:cs="Times New Roman"/>
                <w:color w:val="0D3734"/>
                <w:sz w:val="17"/>
                <w:szCs w:val="17"/>
                <w:lang w:eastAsia="tr-TR"/>
              </w:rPr>
              <w:br/>
              <w:t xml:space="preserve">* Yönetim Kurulu üyelerine, Türk Ticaret Kanununun 395 ve 396 </w:t>
            </w:r>
            <w:proofErr w:type="spellStart"/>
            <w:r w:rsidRPr="007B5EA5">
              <w:rPr>
                <w:rFonts w:ascii="Verdana" w:eastAsia="Times New Roman" w:hAnsi="Verdana" w:cs="Times New Roman"/>
                <w:color w:val="0D3734"/>
                <w:sz w:val="17"/>
                <w:szCs w:val="17"/>
                <w:lang w:eastAsia="tr-TR"/>
              </w:rPr>
              <w:t>ncı</w:t>
            </w:r>
            <w:proofErr w:type="spellEnd"/>
            <w:r w:rsidRPr="007B5EA5">
              <w:rPr>
                <w:rFonts w:ascii="Verdana" w:eastAsia="Times New Roman" w:hAnsi="Verdana" w:cs="Times New Roman"/>
                <w:color w:val="0D3734"/>
                <w:sz w:val="17"/>
                <w:szCs w:val="17"/>
                <w:lang w:eastAsia="tr-TR"/>
              </w:rPr>
              <w:t xml:space="preserve"> maddelerinde anılan yetkilerin tanınmasına, oybirliği ile karar verildi.</w:t>
            </w:r>
            <w:r w:rsidRPr="007B5EA5">
              <w:rPr>
                <w:rFonts w:ascii="Verdana" w:eastAsia="Times New Roman" w:hAnsi="Verdana" w:cs="Times New Roman"/>
                <w:color w:val="0D3734"/>
                <w:sz w:val="17"/>
                <w:lang w:eastAsia="tr-TR"/>
              </w:rPr>
              <w:t> </w:t>
            </w:r>
            <w:r w:rsidRPr="007B5EA5">
              <w:rPr>
                <w:rFonts w:ascii="Verdana" w:eastAsia="Times New Roman" w:hAnsi="Verdana" w:cs="Times New Roman"/>
                <w:color w:val="0D3734"/>
                <w:sz w:val="17"/>
                <w:szCs w:val="17"/>
                <w:lang w:eastAsia="tr-TR"/>
              </w:rPr>
              <w:br/>
              <w:t>* Sermaye Piyasası Kurulu'nun II-17.I Sayılı Tebliğinin ekindeki "Kurumsal Yönetim İlkeleri"nin (1.3.6) maddesinde belirtilen yönetim kontrolünü elinde bulunduran pay sahiplerinin, yönetim kurulu üyelerinin, idari sorumluluğu bulunan yöneticilerin ve bunların eş ve ikinci dereceye kadar kan ve sıhri hısımlarının, bu tebliğdeki işlemleri yapmadıkları hususunda bilgi verildi.</w:t>
            </w:r>
            <w:r w:rsidRPr="007B5EA5">
              <w:rPr>
                <w:rFonts w:ascii="Verdana" w:eastAsia="Times New Roman" w:hAnsi="Verdana" w:cs="Times New Roman"/>
                <w:color w:val="0D3734"/>
                <w:sz w:val="17"/>
                <w:szCs w:val="17"/>
                <w:lang w:eastAsia="tr-TR"/>
              </w:rPr>
              <w:br/>
              <w:t xml:space="preserve">* Türk Ticaret Kanunu hükümlerine göre şirket denetçiliğine BDO Denet Bağımsız Denetim Yeminli Mali Müşavirlik A.Ş. </w:t>
            </w:r>
            <w:proofErr w:type="spellStart"/>
            <w:r w:rsidRPr="007B5EA5">
              <w:rPr>
                <w:rFonts w:ascii="Verdana" w:eastAsia="Times New Roman" w:hAnsi="Verdana" w:cs="Times New Roman"/>
                <w:color w:val="0D3734"/>
                <w:sz w:val="17"/>
                <w:szCs w:val="17"/>
                <w:lang w:eastAsia="tr-TR"/>
              </w:rPr>
              <w:t>nin</w:t>
            </w:r>
            <w:proofErr w:type="spellEnd"/>
            <w:r w:rsidRPr="007B5EA5">
              <w:rPr>
                <w:rFonts w:ascii="Verdana" w:eastAsia="Times New Roman" w:hAnsi="Verdana" w:cs="Times New Roman"/>
                <w:color w:val="0D3734"/>
                <w:sz w:val="17"/>
                <w:szCs w:val="17"/>
                <w:lang w:eastAsia="tr-TR"/>
              </w:rPr>
              <w:t xml:space="preserve"> seçilmesine oybirliği ile karar verilmiştir.</w:t>
            </w:r>
            <w:r w:rsidRPr="007B5EA5">
              <w:rPr>
                <w:rFonts w:ascii="Verdana" w:eastAsia="Times New Roman" w:hAnsi="Verdana" w:cs="Times New Roman"/>
                <w:color w:val="0D3734"/>
                <w:sz w:val="17"/>
                <w:szCs w:val="17"/>
                <w:lang w:eastAsia="tr-TR"/>
              </w:rPr>
              <w:br/>
              <w:t>* Sermaye Piyasası mevzuatına göre Yönetim Kurulu'nca seçilmiş bulunan bağımsız denetleme kuruluşu BDO Denet Bağımsız Denetim Yeminli Mali Müşavirlik A.Ş. ile denetleme sözleşmesi imzalanmasına ve sözleşme taslağının aynen onaylanmasına oybirliği ile karar verildi.</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lastRenderedPageBreak/>
              <w:t xml:space="preserve">Alınan Kararlar Arasında Ticari </w:t>
            </w:r>
            <w:proofErr w:type="spellStart"/>
            <w:r w:rsidRPr="007B5EA5">
              <w:rPr>
                <w:rFonts w:ascii="Verdana" w:eastAsia="Times New Roman" w:hAnsi="Verdana" w:cs="Times New Roman"/>
                <w:color w:val="0D3734"/>
                <w:sz w:val="17"/>
                <w:szCs w:val="17"/>
                <w:lang w:eastAsia="tr-TR"/>
              </w:rPr>
              <w:t>Ünvana</w:t>
            </w:r>
            <w:proofErr w:type="spellEnd"/>
            <w:r w:rsidRPr="007B5EA5">
              <w:rPr>
                <w:rFonts w:ascii="Verdana" w:eastAsia="Times New Roman" w:hAnsi="Verdana" w:cs="Times New Roman"/>
                <w:color w:val="0D3734"/>
                <w:sz w:val="17"/>
                <w:szCs w:val="17"/>
                <w:lang w:eastAsia="tr-TR"/>
              </w:rPr>
              <w:t xml:space="preserve"> İlişkin Ana Sözleşme Tadili Hususu Var mı?</w:t>
            </w:r>
          </w:p>
        </w:tc>
        <w:tc>
          <w:tcPr>
            <w:tcW w:w="6698"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Hayır</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Alınan Kararlar Arasında Faaliyet Konusuna İlişkin Ana Sözleşme Tadili Hususu Var mı?</w:t>
            </w:r>
          </w:p>
        </w:tc>
        <w:tc>
          <w:tcPr>
            <w:tcW w:w="6698" w:type="dxa"/>
            <w:tcBorders>
              <w:top w:val="outset" w:sz="6" w:space="0" w:color="auto"/>
              <w:left w:val="outset" w:sz="6" w:space="0" w:color="auto"/>
              <w:bottom w:val="single" w:sz="6" w:space="0" w:color="D0DADD"/>
              <w:right w:val="single" w:sz="6" w:space="0" w:color="D0DADD"/>
            </w:tcBorders>
            <w:shd w:val="clear" w:color="auto" w:fill="F9FAFB"/>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Hayır</w:t>
            </w:r>
          </w:p>
        </w:tc>
      </w:tr>
      <w:tr w:rsidR="007B5EA5" w:rsidRPr="007B5EA5" w:rsidTr="007B5EA5">
        <w:tc>
          <w:tcPr>
            <w:tcW w:w="3349"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Alınan Kararlar Arasında Şirket Merkezine İlişkin Ana Sözleşme Tadili Hususu Var mı?</w:t>
            </w:r>
          </w:p>
        </w:tc>
        <w:tc>
          <w:tcPr>
            <w:tcW w:w="6698" w:type="dxa"/>
            <w:tcBorders>
              <w:top w:val="outset" w:sz="6" w:space="0" w:color="auto"/>
              <w:left w:val="outset" w:sz="6" w:space="0" w:color="auto"/>
              <w:bottom w:val="single" w:sz="6" w:space="0" w:color="D0DADD"/>
              <w:right w:val="single" w:sz="6" w:space="0" w:color="D0DADD"/>
            </w:tcBorders>
            <w:shd w:val="clear" w:color="auto" w:fill="FDFEFF"/>
            <w:tcMar>
              <w:top w:w="15" w:type="dxa"/>
              <w:left w:w="84" w:type="dxa"/>
              <w:bottom w:w="15" w:type="dxa"/>
              <w:right w:w="84" w:type="dxa"/>
            </w:tcMar>
            <w:vAlign w:val="center"/>
            <w:hideMark/>
          </w:tcPr>
          <w:p w:rsidR="007B5EA5" w:rsidRPr="007B5EA5" w:rsidRDefault="007B5EA5" w:rsidP="007B5EA5">
            <w:pPr>
              <w:spacing w:after="0" w:line="240" w:lineRule="auto"/>
              <w:rPr>
                <w:rFonts w:ascii="Verdana" w:eastAsia="Times New Roman" w:hAnsi="Verdana" w:cs="Times New Roman"/>
                <w:color w:val="0D3734"/>
                <w:sz w:val="17"/>
                <w:szCs w:val="17"/>
                <w:lang w:eastAsia="tr-TR"/>
              </w:rPr>
            </w:pPr>
            <w:r w:rsidRPr="007B5EA5">
              <w:rPr>
                <w:rFonts w:ascii="Verdana" w:eastAsia="Times New Roman" w:hAnsi="Verdana" w:cs="Times New Roman"/>
                <w:color w:val="0D3734"/>
                <w:sz w:val="17"/>
                <w:szCs w:val="17"/>
                <w:lang w:eastAsia="tr-TR"/>
              </w:rPr>
              <w:t>Hayır</w:t>
            </w:r>
          </w:p>
        </w:tc>
      </w:tr>
    </w:tbl>
    <w:p w:rsidR="009105AB" w:rsidRDefault="009105AB"/>
    <w:sectPr w:rsidR="009105AB" w:rsidSect="00910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B5EA5"/>
    <w:rsid w:val="00330F71"/>
    <w:rsid w:val="00513708"/>
    <w:rsid w:val="005A25C4"/>
    <w:rsid w:val="007430C4"/>
    <w:rsid w:val="00757E63"/>
    <w:rsid w:val="007B020B"/>
    <w:rsid w:val="007B5EA5"/>
    <w:rsid w:val="009105AB"/>
    <w:rsid w:val="00A661B2"/>
    <w:rsid w:val="00AC4867"/>
    <w:rsid w:val="00D53C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5EA5"/>
  </w:style>
</w:styles>
</file>

<file path=word/webSettings.xml><?xml version="1.0" encoding="utf-8"?>
<w:webSettings xmlns:r="http://schemas.openxmlformats.org/officeDocument/2006/relationships" xmlns:w="http://schemas.openxmlformats.org/wordprocessingml/2006/main">
  <w:divs>
    <w:div w:id="15572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AyseOzlemKuruca</dc:creator>
  <cp:lastModifiedBy>AyseOzlemKuruca</cp:lastModifiedBy>
  <cp:revision>1</cp:revision>
  <dcterms:created xsi:type="dcterms:W3CDTF">2014-03-26T06:07:00Z</dcterms:created>
  <dcterms:modified xsi:type="dcterms:W3CDTF">2014-03-26T06:07:00Z</dcterms:modified>
</cp:coreProperties>
</file>